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BROTAR</w:t>
      </w:r>
    </w:p>
    <w:p>
      <w:pPr>
        <w:pStyle w:val="Title"/>
      </w:pPr>
      <w:r>
        <w:rPr>
          <w:b w:val="0"/>
        </w:rPr>
        <w:t>Principios y patrones del Sprint 2</w:t>
      </w:r>
    </w:p>
    <w:p>
      <w:pPr>
        <w:pStyle w:val="Subtitle"/>
      </w:pPr>
      <w:r>
        <w:rPr>
          <w:b w:val="0"/>
        </w:rPr>
        <w:t>Fundamentos de diseño ubicación de código y justificación técnica</w:t>
      </w:r>
    </w:p>
    <w:p>
      <w:r>
        <w:rPr>
          <w:b w:val="0"/>
        </w:rPr>
        <w:t>Proyecto de Sistemas II</w:t>
      </w:r>
    </w:p>
    <w:p>
      <w:r>
        <w:rPr>
          <w:b w:val="0"/>
        </w:rPr>
        <w:t>Equipo de trabajo: Ricardo, Alison y Santiago</w:t>
      </w:r>
    </w:p>
    <w:p>
      <w:r>
        <w:rPr>
          <w:b/>
        </w:rPr>
        <w:t>Estudiantes</w:t>
      </w:r>
    </w:p>
    <w:p>
      <w:r>
        <w:rPr>
          <w:b w:val="0"/>
        </w:rPr>
        <w:t>Ricardo Nuñez del Prado Justiniano</w:t>
      </w:r>
    </w:p>
    <w:p>
      <w:r>
        <w:rPr>
          <w:b w:val="0"/>
        </w:rPr>
        <w:t>Santiago Rocha Mejia</w:t>
      </w:r>
    </w:p>
    <w:p>
      <w:r>
        <w:rPr>
          <w:b w:val="0"/>
        </w:rPr>
        <w:t>Alison Pizarro Apaza</w:t>
      </w:r>
    </w:p>
    <w:p>
      <w:r>
        <w:rPr>
          <w:b w:val="0"/>
        </w:rPr>
        <w:t>Corte documentado: rama DEV, commit 1fcecd4</w:t>
      </w:r>
    </w:p>
    <w:p>
      <w:r>
        <w:rPr>
          <w:b w:val="0"/>
        </w:rPr>
        <w:t>Fecha de preparación: 7 de octubre de 2026</w:t>
      </w:r>
    </w:p>
    <w:p>
      <w:r>
        <w:rPr>
          <w:b w:val="0"/>
        </w:rPr>
        <w:t>Destinatario: docente de Proyecto de Sistemas II</w:t>
      </w:r>
    </w:p>
    <w:p>
      <w:r>
        <w:rPr>
          <w:b w:val="0"/>
        </w:rPr>
        <w:t>Estado: incremento de campañas implementado y publicado; aceptación formal de los líderes y reglas definitivas del cliente pendientes.</w:t>
      </w:r>
    </w:p>
    <w:p>
      <w:r>
        <w:rPr>
          <w:b w:val="0"/>
        </w:rPr>
        <w:t>Fuentes: tarea oficial de Fase 3, código y pruebas de DEV, planificación interna, README y registros de verificación del 5 de octubre de 2026.</w:t>
      </w:r>
    </w:p>
    <w:p>
      <w:r>
        <w:rPr>
          <w:b w:val="0"/>
        </w:rPr>
        <w:t>Este informe distingue el funcionamiento verificado de la aprobación académica y de la validación final del cliente. Los 300 casos automatizados incluyen regresiones de Sprint 1 y no representan 300 historias de usuario.</w:t>
      </w:r>
    </w:p>
    <w:p>
      <w:pPr>
        <w:pStyle w:val="Heading1"/>
        <w:pageBreakBefore/>
      </w:pPr>
      <w:r>
        <w:t>1 Enfoque de programación y criterio de aplicación</w:t>
      </w:r>
    </w:p>
    <w:p>
      <w:r>
        <w:rPr>
          <w:b w:val="0"/>
        </w:rPr>
        <w:t>El equipo aplicó principios donde resolvían problemas concretos del módulo de campañas. Se conservaron código y arquitectura adecuados; se refactorizó la coordinación de formularios y se corrigieron validaciones. La evaluación debe relacionar cada concepto con una unidad de código, la razón de usarla, una prueba y un límite de la afirmación. No se añadieron jerarquías ni patrones solo para cumplir una lista.</w:t>
      </w:r>
    </w:p>
    <w:p>
      <w:r>
        <w:rPr>
          <w:b w:val="0"/>
        </w:rPr>
        <w:t>KISS, DRY y YAGNI son principios de simplicidad, reutilización y alcance. SOLID orienta responsabilidades y contratos. Repository y Adapter son patrones de diseño. IoC e inyección son técnicas de ensamblaje; las transacciones y bloqueos son mecanismos de consistencia. Presentar todos como un único tipo de programación ocultaría diferencias relevantes para la defensa.</w:t>
      </w:r>
    </w:p>
    <w:tbl>
      <w:tblPr>
        <w:tblW w:type="auto" w:w="0"/>
        <w:jc w:val="center"/>
        <w:tblLayout w:type="fixed"/>
        <w:tblLook w:firstColumn="1" w:firstRow="1" w:lastColumn="0" w:lastRow="0" w:noHBand="0" w:noVBand="1" w:val="04A0"/>
      </w:tblPr>
      <w:tblGrid>
        <w:gridCol w:w="1944"/>
        <w:gridCol w:w="4896"/>
        <w:gridCol w:w="2952"/>
      </w:tblGrid>
      <w:tr>
        <w:trPr>
          <w:tblHeader/>
          <w:cantSplit/>
        </w:trPr>
        <w:tc>
          <w:tcPr>
            <w:tcW w:type="dxa" w:w="194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E7EDF3"/>
          </w:tcPr>
          <w:p>
            <w:pPr>
              <w:spacing w:after="40" w:line="245" w:lineRule="auto"/>
              <w:jc w:val="center"/>
            </w:pPr>
            <w:r>
              <w:rPr>
                <w:b/>
                <w:sz w:val="20"/>
              </w:rPr>
              <w:t>Enfoque</w:t>
            </w:r>
          </w:p>
        </w:tc>
        <w:tc>
          <w:tcPr>
            <w:tcW w:type="dxa" w:w="489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E7EDF3"/>
          </w:tcPr>
          <w:p>
            <w:pPr>
              <w:spacing w:after="40" w:line="245" w:lineRule="auto"/>
            </w:pPr>
            <w:r>
              <w:rPr>
                <w:b/>
                <w:sz w:val="20"/>
              </w:rPr>
              <w:t>Aplicación en Sprint 2</w:t>
            </w:r>
          </w:p>
        </w:tc>
        <w:tc>
          <w:tcPr>
            <w:tcW w:type="dxa" w:w="295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E7EDF3"/>
          </w:tcPr>
          <w:p>
            <w:pPr>
              <w:spacing w:after="40" w:line="245" w:lineRule="auto"/>
            </w:pPr>
            <w:r>
              <w:rPr>
                <w:b/>
                <w:sz w:val="20"/>
              </w:rPr>
              <w:t>Límite</w:t>
            </w:r>
          </w:p>
        </w:tc>
      </w:tr>
      <w:tr>
        <w:trPr>
          <w:cantSplit/>
        </w:trPr>
        <w:tc>
          <w:tcPr>
            <w:tcW w:type="dxa" w:w="194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line="245" w:lineRule="auto"/>
              <w:jc w:val="center"/>
            </w:pPr>
            <w:r>
              <w:rPr>
                <w:b w:val="0"/>
                <w:sz w:val="20"/>
              </w:rPr>
              <w:t>Orientación a objetos</w:t>
            </w:r>
          </w:p>
        </w:tc>
        <w:tc>
          <w:tcPr>
            <w:tcW w:type="dxa" w:w="489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line="245" w:lineRule="auto"/>
            </w:pPr>
            <w:r>
              <w:rPr>
                <w:b w:val="0"/>
                <w:sz w:val="20"/>
              </w:rPr>
              <w:t>Casos de uso y repositorios con colaboradores</w:t>
            </w:r>
          </w:p>
        </w:tc>
        <w:tc>
          <w:tcPr>
            <w:tcW w:type="dxa" w:w="295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line="245" w:lineRule="auto"/>
            </w:pPr>
            <w:r>
              <w:rPr>
                <w:b w:val="0"/>
                <w:sz w:val="20"/>
              </w:rPr>
              <w:t>Sin jerarquías artificiales por rol</w:t>
            </w:r>
          </w:p>
        </w:tc>
      </w:tr>
      <w:tr>
        <w:trPr>
          <w:cantSplit/>
        </w:trPr>
        <w:tc>
          <w:tcPr>
            <w:tcW w:type="dxa" w:w="194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6F6F6"/>
          </w:tcPr>
          <w:p>
            <w:pPr>
              <w:spacing w:after="40" w:line="245" w:lineRule="auto"/>
              <w:jc w:val="center"/>
            </w:pPr>
            <w:r>
              <w:rPr>
                <w:b w:val="0"/>
                <w:sz w:val="20"/>
              </w:rPr>
              <w:t>Funciones puras</w:t>
            </w:r>
          </w:p>
        </w:tc>
        <w:tc>
          <w:tcPr>
            <w:tcW w:type="dxa" w:w="489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6F6F6"/>
          </w:tcPr>
          <w:p>
            <w:pPr>
              <w:spacing w:after="40" w:line="245" w:lineRule="auto"/>
            </w:pPr>
            <w:r>
              <w:rPr>
                <w:b w:val="0"/>
                <w:sz w:val="20"/>
              </w:rPr>
              <w:t>Validadores y cálculo de faltantes</w:t>
            </w:r>
          </w:p>
        </w:tc>
        <w:tc>
          <w:tcPr>
            <w:tcW w:type="dxa" w:w="295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6F6F6"/>
          </w:tcPr>
          <w:p>
            <w:pPr>
              <w:spacing w:after="40" w:line="245" w:lineRule="auto"/>
            </w:pPr>
            <w:r>
              <w:rPr>
                <w:b w:val="0"/>
                <w:sz w:val="20"/>
              </w:rPr>
              <w:t>No todo el sistema es funcional puro</w:t>
            </w:r>
          </w:p>
        </w:tc>
      </w:tr>
      <w:tr>
        <w:trPr>
          <w:cantSplit/>
        </w:trPr>
        <w:tc>
          <w:tcPr>
            <w:tcW w:type="dxa" w:w="194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line="245" w:lineRule="auto"/>
              <w:jc w:val="center"/>
            </w:pPr>
            <w:r>
              <w:rPr>
                <w:b w:val="0"/>
                <w:sz w:val="20"/>
              </w:rPr>
              <w:t>Declarativo</w:t>
            </w:r>
          </w:p>
        </w:tc>
        <w:tc>
          <w:tcPr>
            <w:tcW w:type="dxa" w:w="489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line="245" w:lineRule="auto"/>
            </w:pPr>
            <w:r>
              <w:rPr>
                <w:b w:val="0"/>
                <w:sz w:val="20"/>
              </w:rPr>
              <w:t>React describe la UI desde props y estado</w:t>
            </w:r>
          </w:p>
        </w:tc>
        <w:tc>
          <w:tcPr>
            <w:tcW w:type="dxa" w:w="295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line="245" w:lineRule="auto"/>
            </w:pPr>
            <w:r>
              <w:rPr>
                <w:b w:val="0"/>
                <w:sz w:val="20"/>
              </w:rPr>
              <w:t>Los efectos siguen controlados por hooks</w:t>
            </w:r>
          </w:p>
        </w:tc>
      </w:tr>
      <w:tr>
        <w:trPr>
          <w:cantSplit/>
        </w:trPr>
        <w:tc>
          <w:tcPr>
            <w:tcW w:type="dxa" w:w="194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6F6F6"/>
          </w:tcPr>
          <w:p>
            <w:pPr>
              <w:spacing w:after="40" w:line="245" w:lineRule="auto"/>
              <w:jc w:val="center"/>
            </w:pPr>
            <w:r>
              <w:rPr>
                <w:b w:val="0"/>
                <w:sz w:val="20"/>
              </w:rPr>
              <w:t>Asíncrono</w:t>
            </w:r>
          </w:p>
        </w:tc>
        <w:tc>
          <w:tcPr>
            <w:tcW w:type="dxa" w:w="489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6F6F6"/>
          </w:tcPr>
          <w:p>
            <w:pPr>
              <w:spacing w:after="40" w:line="245" w:lineRule="auto"/>
            </w:pPr>
            <w:r>
              <w:rPr>
                <w:b w:val="0"/>
                <w:sz w:val="20"/>
              </w:rPr>
              <w:t>Solicitudes HTTP y operaciones de base</w:t>
            </w:r>
          </w:p>
        </w:tc>
        <w:tc>
          <w:tcPr>
            <w:tcW w:type="dxa" w:w="295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6F6F6"/>
          </w:tcPr>
          <w:p>
            <w:pPr>
              <w:spacing w:after="40" w:line="245" w:lineRule="auto"/>
            </w:pPr>
            <w:r>
              <w:rPr>
                <w:b w:val="0"/>
                <w:sz w:val="20"/>
              </w:rPr>
              <w:t>async no equivale a atomicidad</w:t>
            </w:r>
          </w:p>
        </w:tc>
      </w:tr>
      <w:tr>
        <w:trPr>
          <w:cantSplit/>
        </w:trPr>
        <w:tc>
          <w:tcPr>
            <w:tcW w:type="dxa" w:w="194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line="245" w:lineRule="auto"/>
              <w:jc w:val="center"/>
            </w:pPr>
            <w:r>
              <w:rPr>
                <w:b w:val="0"/>
                <w:sz w:val="20"/>
              </w:rPr>
              <w:t>Capas y puertos</w:t>
            </w:r>
          </w:p>
        </w:tc>
        <w:tc>
          <w:tcPr>
            <w:tcW w:type="dxa" w:w="489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line="245" w:lineRule="auto"/>
            </w:pPr>
            <w:r>
              <w:rPr>
                <w:b w:val="0"/>
                <w:sz w:val="20"/>
              </w:rPr>
              <w:t>Dominio y aplicación separados de infraestructura</w:t>
            </w:r>
          </w:p>
        </w:tc>
        <w:tc>
          <w:tcPr>
            <w:tcW w:type="dxa" w:w="295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line="245" w:lineRule="auto"/>
            </w:pPr>
            <w:r>
              <w:rPr>
                <w:b w:val="0"/>
                <w:sz w:val="20"/>
              </w:rPr>
              <w:t>El adaptador sí conoce SQL/TypeORM</w:t>
            </w:r>
          </w:p>
        </w:tc>
      </w:tr>
    </w:tbl>
    <w:p>
      <w:r>
        <w:rPr>
          <w:b w:val="0"/>
        </w:rPr>
      </w:r>
    </w:p>
    <w:p>
      <w:r>
        <w:rPr>
          <w:b w:val="0"/>
        </w:rPr>
        <w:t>Recorrido de referencia: CampaignSectionsEditor usa useCampaignSections; el hook invoca sectionsClient y requestApi; SectionsController valida HTTP y delega a CampaignSections; este usa reglas de dominio y el puerto SectionsRepository; TypeormSectionsRepository persiste en PostgreSQL. La respuesta debe validar su contrato antes de confirmar el resultado.</w:t>
      </w:r>
    </w:p>
    <w:p>
      <w:pPr>
        <w:spacing w:line="245" w:lineRule="auto"/>
      </w:pPr>
      <w:r>
        <w:rPr>
          <w:rFonts w:ascii="Consolas" w:hAnsi="Consolas"/>
          <w:b w:val="0"/>
          <w:sz w:val="18"/>
        </w:rPr>
        <w:t>backend/test/architecture.test.ts · línea 6 · test('BG-58</w:t>
      </w:r>
    </w:p>
    <w:p>
      <w:r>
        <w:rPr>
          <w:b w:val="0"/>
        </w:rPr>
        <w:t>La comprobación de imports detecta dependencias prohibidas de dominio/aplicación hacia framework o infraestructura. No demuestra por sí sola que todo el diseño sea perfecto; se complementa con pruebas de comportamiento e integración.</w:t>
      </w:r>
    </w:p>
    <w:p>
      <w:pPr>
        <w:pStyle w:val="Heading1"/>
        <w:pageBreakBefore/>
      </w:pPr>
      <w:r>
        <w:t>2 KISS y reglas simples</w:t>
      </w:r>
    </w:p>
    <w:p>
      <w:pPr>
        <w:pStyle w:val="Heading2"/>
      </w:pPr>
      <w:r>
        <w:t>Concepto y problema que resuelve</w:t>
      </w:r>
    </w:p>
    <w:p>
      <w:r>
        <w:rPr>
          <w:b w:val="0"/>
        </w:rPr>
        <w:t>Elegir la solución más simple que satisfaga el requisito, no la más corta a costa de seguridad. En este sprint las decisiones se expresan mediante funciones de dominio pequeñas y operaciones explícitas; no se añadió un motor genérico de campañas.</w:t>
      </w:r>
    </w:p>
    <w:p>
      <w:pPr>
        <w:pStyle w:val="Heading2"/>
      </w:pPr>
      <w:r>
        <w:t>Aplicación y justificación en Brotar</w:t>
      </w:r>
    </w:p>
    <w:p>
      <w:r>
        <w:rPr>
          <w:b w:val="0"/>
        </w:rPr>
        <w:t>reviewTarget, isPublicCampaign y canDiscardCampaign conservan reglas concretas. validateFunding revisa meta/modelo/duración/fechas y devuelve errores por campo. La corrección decimal compara con toFixed(2) en lugar de una tolerancia binaria arbitraria; budgetTotal suma céntimos dentro del límite actual de partidas.</w:t>
      </w:r>
    </w:p>
    <w:p>
      <w:pPr>
        <w:spacing w:line="245" w:lineRule="auto"/>
      </w:pPr>
      <w:r>
        <w:rPr>
          <w:rFonts w:ascii="Consolas" w:hAnsi="Consolas"/>
          <w:b w:val="0"/>
          <w:sz w:val="18"/>
        </w:rPr>
        <w:t>isPublicCampaign(status) =&gt; status === 'PUBLISHED'</w:t>
      </w:r>
    </w:p>
    <w:p>
      <w:r>
        <w:rPr>
          <w:b w:val="0"/>
        </w:rPr>
        <w:t>Esta función expresa la separación exigida entre aprobación y visibilidad pública. No se necesita un motor configurable de estados para comprobar esta regla acotada; los bloqueos y transacciones se mantienen en persistencia porque resuelven un problema diferente.</w:t>
      </w:r>
    </w:p>
    <w:p>
      <w:pPr>
        <w:pStyle w:val="Heading2"/>
      </w:pPr>
      <w:r>
        <w:t>Ubicación verificable en el corte DEV</w:t>
      </w:r>
    </w:p>
    <w:p>
      <w:pPr>
        <w:spacing w:line="245" w:lineRule="auto"/>
      </w:pPr>
      <w:r>
        <w:rPr>
          <w:rFonts w:ascii="Consolas" w:hAnsi="Consolas"/>
          <w:b w:val="0"/>
          <w:sz w:val="18"/>
        </w:rPr>
        <w:t>backend/src/campaigns/domain/lifecycle.ts · línea 6 · export function reviewTarget</w:t>
      </w:r>
    </w:p>
    <w:p>
      <w:pPr>
        <w:spacing w:line="245" w:lineRule="auto"/>
      </w:pPr>
      <w:r>
        <w:rPr>
          <w:rFonts w:ascii="Consolas" w:hAnsi="Consolas"/>
          <w:b w:val="0"/>
          <w:sz w:val="18"/>
        </w:rPr>
        <w:t>backend/src/campaigns/domain/sections.ts · línea 19 · const money</w:t>
      </w:r>
    </w:p>
    <w:p>
      <w:pPr>
        <w:spacing w:line="245" w:lineRule="auto"/>
      </w:pPr>
      <w:r>
        <w:rPr>
          <w:rFonts w:ascii="Consolas" w:hAnsi="Consolas"/>
          <w:b w:val="0"/>
          <w:sz w:val="18"/>
        </w:rPr>
        <w:t>src/features/campaigns/sectionsClient.ts · línea 98 · export function budgetTotal</w:t>
      </w:r>
    </w:p>
    <w:p>
      <w:pPr>
        <w:pStyle w:val="Heading2"/>
      </w:pPr>
      <w:r>
        <w:t>Demostración y evidencia</w:t>
      </w:r>
    </w:p>
    <w:p>
      <w:r>
        <w:rPr>
          <w:b w:val="0"/>
        </w:rPr>
        <w:t>Mostrar una campaña APPROVED que aún no aparece públicamente; abrir isPublicCampaign. Ejecutar el caso 0.10 + 0.20 y el importe máximo válido. La regla es legible y se puede aislar en una prueba sin arrancar NestJS.</w:t>
      </w:r>
    </w:p>
    <w:p>
      <w:pPr>
        <w:pStyle w:val="Heading2"/>
      </w:pPr>
      <w:r>
        <w:t>Alcance de la afirmación</w:t>
      </w:r>
    </w:p>
    <w:p>
      <w:r>
        <w:rPr>
          <w:b w:val="0"/>
        </w:rPr>
        <w:t>Una función pequeña puede seguir siendo incorrecta. Sumar céntimos aquí no constituye un motor financiero listo para pagos: es un total de presentación sobre partidas validadas y límites acotados.</w:t>
      </w:r>
    </w:p>
    <w:p>
      <w:pPr>
        <w:pStyle w:val="Heading2"/>
      </w:pPr>
      <w:r>
        <w:t>Justificación para la defensa</w:t>
      </w:r>
    </w:p>
    <w:p>
      <w:r>
        <w:rPr>
          <w:b w:val="0"/>
        </w:rPr>
        <w:t>Aplicamos KISS a reglas acotadas y resultados explícitos; mantuvimos transacciones y autorización porque forman parte del requisito, no son complejidad prescindible.</w:t>
      </w:r>
    </w:p>
    <w:p>
      <w:pPr>
        <w:pStyle w:val="Heading1"/>
        <w:pageBreakBefore/>
      </w:pPr>
      <w:r>
        <w:t>3 DRY y reutilización de conocimiento</w:t>
      </w:r>
    </w:p>
    <w:p>
      <w:pPr>
        <w:pStyle w:val="Heading2"/>
      </w:pPr>
      <w:r>
        <w:t>Concepto y problema que resuelve</w:t>
      </w:r>
    </w:p>
    <w:p>
      <w:r>
        <w:rPr>
          <w:b w:val="0"/>
        </w:rPr>
        <w:t>Evitar copias de una misma decisión que evolucionen de forma contradictoria. Se conserva transporte HTTP común y parsers reutilizados. No se elimina la validación de servidor por existir una en la interfaz.</w:t>
      </w:r>
    </w:p>
    <w:p>
      <w:pPr>
        <w:pStyle w:val="Heading2"/>
      </w:pPr>
      <w:r>
        <w:t>Aplicación y justificación en Brotar</w:t>
      </w:r>
    </w:p>
    <w:p>
      <w:r>
        <w:rPr>
          <w:b w:val="0"/>
        </w:rPr>
        <w:t>requestApi centraliza cookies, no-store, timeout, cabecera de mutación y traducción de fallos. administrativeDetailFrom reutiliza planFrom, budgetFrom, fundingFrom y rewardsFrom. El hook concentra el patrón de guardado y feedback para cuatro bloques sin copiarlo en cada formulario.</w:t>
      </w:r>
    </w:p>
    <w:p>
      <w:r>
        <w:rPr>
          <w:b w:val="0"/>
        </w:rPr>
        <w:t>El componente CreatorAccessActions también reutiliza los accesos superior e inferior de Para creadores. Ambos reciben la misma sesión confirmada desde PublicLayout, evitando decisiones visuales contradictorias. La protección real permanece en el servidor.</w:t>
      </w:r>
    </w:p>
    <w:p>
      <w:pPr>
        <w:pStyle w:val="Heading2"/>
      </w:pPr>
      <w:r>
        <w:t>Ubicación verificable en el corte DEV</w:t>
      </w:r>
    </w:p>
    <w:p>
      <w:pPr>
        <w:spacing w:line="245" w:lineRule="auto"/>
      </w:pPr>
      <w:r>
        <w:rPr>
          <w:rFonts w:ascii="Consolas" w:hAnsi="Consolas"/>
          <w:b w:val="0"/>
          <w:sz w:val="18"/>
        </w:rPr>
        <w:t>src/shared/api/request.ts · línea 11 · export async function requestApi</w:t>
      </w:r>
    </w:p>
    <w:p>
      <w:pPr>
        <w:spacing w:line="245" w:lineRule="auto"/>
      </w:pPr>
      <w:r>
        <w:rPr>
          <w:rFonts w:ascii="Consolas" w:hAnsi="Consolas"/>
          <w:b w:val="0"/>
          <w:sz w:val="18"/>
        </w:rPr>
        <w:t>src/features/campaigns/administrativeClient.ts · línea 25 · export function administrativeDetailFrom</w:t>
      </w:r>
    </w:p>
    <w:p>
      <w:pPr>
        <w:spacing w:line="245" w:lineRule="auto"/>
      </w:pPr>
      <w:r>
        <w:rPr>
          <w:rFonts w:ascii="Consolas" w:hAnsi="Consolas"/>
          <w:b w:val="0"/>
          <w:sz w:val="18"/>
        </w:rPr>
        <w:t>src/features/campaigns/useCampaignSections.ts · línea 46 · async function persist</w:t>
      </w:r>
    </w:p>
    <w:p>
      <w:pPr>
        <w:pStyle w:val="Heading2"/>
      </w:pPr>
      <w:r>
        <w:t>Demostración y evidencia</w:t>
      </w:r>
    </w:p>
    <w:p>
      <w:r>
        <w:rPr>
          <w:b w:val="0"/>
        </w:rPr>
        <w:t>Abrir tests/api-request.test.ts y observar cookies/cancelación. Abrir administrative-campaigns.test.ts: una respuesta anidada incorrecta no crea un éxito falso. Mostrar cómo cada formulario invoca una operación del mismo hook.</w:t>
      </w:r>
    </w:p>
    <w:p>
      <w:pPr>
        <w:pStyle w:val="Heading2"/>
      </w:pPr>
      <w:r>
        <w:t>Alcance de la afirmación</w:t>
      </w:r>
    </w:p>
    <w:p>
      <w:r>
        <w:rPr>
          <w:b w:val="0"/>
        </w:rPr>
        <w:t>Frontend y backend tienen reglas espejo de secciones porque protegen fronteras distintas; son duplicación consciente, no DRY perfecto. Pruebas de paridad evitan divergencia en los casos cubiertos. El navegador no importa código de infraestructura del backend. Cambiar la regla exige revisar ambos lados.</w:t>
      </w:r>
    </w:p>
    <w:p>
      <w:pPr>
        <w:pStyle w:val="Heading2"/>
      </w:pPr>
      <w:r>
        <w:t>Justificación para la defensa</w:t>
      </w:r>
    </w:p>
    <w:p>
      <w:r>
        <w:rPr>
          <w:b w:val="0"/>
        </w:rPr>
        <w:t>Reutilizamos transporte y contratos; el servidor sigue siendo autoridad. No confundimos eliminar copia con eliminar una defensa independiente.</w:t>
      </w:r>
    </w:p>
    <w:p>
      <w:pPr>
        <w:pStyle w:val="Heading1"/>
        <w:pageBreakBefore/>
      </w:pPr>
      <w:r>
        <w:t>4 YAGNI y control del alcance</w:t>
      </w:r>
    </w:p>
    <w:p>
      <w:pPr>
        <w:pStyle w:val="Heading2"/>
      </w:pPr>
      <w:r>
        <w:t>Concepto y problema que resuelve</w:t>
      </w:r>
    </w:p>
    <w:p>
      <w:r>
        <w:rPr>
          <w:b w:val="0"/>
        </w:rPr>
        <w:t>No construir hoy funcionalidades basadas solo en una posibilidad futura. La tarea Fase 3 excluye explícitamente pagos, aportes, checkout, KYC/KYB y rendición. El backlog conserva esos módulos para refinamiento posterior.</w:t>
      </w:r>
    </w:p>
    <w:p>
      <w:pPr>
        <w:pStyle w:val="Heading2"/>
      </w:pPr>
      <w:r>
        <w:t>Aplicación y justificación en Brotar</w:t>
      </w:r>
    </w:p>
    <w:p>
      <w:r>
        <w:rPr>
          <w:b w:val="0"/>
        </w:rPr>
        <w:t>PublicCampaigns expone catálogo/detalle; Projects controla proyectos/descarte; AdministrativeReview decide y publica según D05. No se añadió un proveedor de pagos, permisos definitivos inventados ni activación de identidad automática. La configuración se limita a publicación administrativa provisional.</w:t>
      </w:r>
    </w:p>
    <w:p>
      <w:pPr>
        <w:pStyle w:val="Heading2"/>
      </w:pPr>
      <w:r>
        <w:t>Ubicación verificable en el corte DEV</w:t>
      </w:r>
    </w:p>
    <w:p>
      <w:pPr>
        <w:spacing w:line="245" w:lineRule="auto"/>
      </w:pPr>
      <w:r>
        <w:rPr>
          <w:rFonts w:ascii="Consolas" w:hAnsi="Consolas"/>
          <w:b w:val="0"/>
          <w:sz w:val="18"/>
        </w:rPr>
        <w:t>backend/src/campaigns/application/public-campaigns.ts · línea 12 · export class PublicCampaigns</w:t>
      </w:r>
    </w:p>
    <w:p>
      <w:pPr>
        <w:spacing w:line="245" w:lineRule="auto"/>
      </w:pPr>
      <w:r>
        <w:rPr>
          <w:rFonts w:ascii="Consolas" w:hAnsi="Consolas"/>
          <w:b w:val="0"/>
          <w:sz w:val="18"/>
        </w:rPr>
        <w:t>backend/src/campaigns/application/projects.ts · línea 23 · export class Projects</w:t>
      </w:r>
    </w:p>
    <w:p>
      <w:pPr>
        <w:spacing w:line="245" w:lineRule="auto"/>
      </w:pPr>
      <w:r>
        <w:rPr>
          <w:rFonts w:ascii="Consolas" w:hAnsi="Consolas"/>
          <w:b w:val="0"/>
          <w:sz w:val="18"/>
        </w:rPr>
        <w:t>backend/src/campaigns/domain/administrative-review.ts · línea 29 · export function publicationEnabled</w:t>
      </w:r>
    </w:p>
    <w:p>
      <w:pPr>
        <w:pStyle w:val="Heading2"/>
      </w:pPr>
      <w:r>
        <w:t>Demostración y evidencia</w:t>
      </w:r>
    </w:p>
    <w:p>
      <w:r>
        <w:rPr>
          <w:b w:val="0"/>
        </w:rPr>
        <w:t>En el detalle público mostrar contenido/recompensas sin cobrar. Explicar que configurar una meta y mostrar avance real no implementa checkout. Abrir ADR-005 y señalar alcance provisional y decisión D06 pendiente.</w:t>
      </w:r>
    </w:p>
    <w:p>
      <w:pPr>
        <w:pStyle w:val="Heading2"/>
      </w:pPr>
      <w:r>
        <w:t>Alcance de la afirmación</w:t>
      </w:r>
    </w:p>
    <w:p>
      <w:r>
        <w:rPr>
          <w:b w:val="0"/>
        </w:rPr>
        <w:t>YAGNI no justifica omitir pruebas, seguridad, documentación o publicación requerida por la fase. Tampoco significa borrar el backlog futuro. El diseño deja puertos acotados, no una plataforma extensible para cualquier caso imaginado.</w:t>
      </w:r>
    </w:p>
    <w:p>
      <w:pPr>
        <w:pStyle w:val="Heading2"/>
      </w:pPr>
      <w:r>
        <w:t>Justificación para la defensa</w:t>
      </w:r>
    </w:p>
    <w:p>
      <w:r>
        <w:rPr>
          <w:b w:val="0"/>
        </w:rPr>
        <w:t>Construimos el flujo real pedido y no adelantamos los módulos expresamente excluidos. Las decisiones del cliente pendientes se documentan en vez de inventarse.</w:t>
      </w:r>
    </w:p>
    <w:p>
      <w:pPr>
        <w:pStyle w:val="Heading1"/>
        <w:pageBreakBefore/>
      </w:pPr>
      <w:r>
        <w:t>5 SOLID y responsabilidad única</w:t>
      </w:r>
    </w:p>
    <w:p>
      <w:pPr>
        <w:pStyle w:val="Heading2"/>
      </w:pPr>
      <w:r>
        <w:t>Concepto y problema que resuelve</w:t>
      </w:r>
    </w:p>
    <w:p>
      <w:r>
        <w:rPr>
          <w:b w:val="0"/>
        </w:rPr>
        <w:t>Una unidad debe concentrar una responsabilidad y una razón coherente para cambiar. Separar archivos por sí solo no basta: cada pieza debe conservar un propósito claro.</w:t>
      </w:r>
    </w:p>
    <w:p>
      <w:pPr>
        <w:pStyle w:val="Heading2"/>
      </w:pPr>
      <w:r>
        <w:t>Aplicación y justificación en Brotar</w:t>
      </w:r>
    </w:p>
    <w:p>
      <w:r>
        <w:rPr>
          <w:b w:val="0"/>
        </w:rPr>
        <w:t>Se extrajo useCampaignSections del componente. El hook coordina carga, guardado, cambios pendientes y errores; CampaignSectionsEditor describe controles. sectionsClient transporta y valida contratos. En backend SectionsController recibe HTTP, CampaignSections coordina el caso y TypeormSectionsRepository realiza persistencia.</w:t>
      </w:r>
    </w:p>
    <w:p>
      <w:r>
        <w:rPr>
          <w:b w:val="0"/>
        </w:rPr>
        <w:t>La separación no convierte el componente en un archivo sin lógica: conserva decisiones de presentación y eventos. El hook concentra coordinación del estado y del guardado; el cliente valida el contrato de red. La responsabilidad se valora por razones de cambio, no por longitud del archivo.</w:t>
      </w:r>
    </w:p>
    <w:p>
      <w:pPr>
        <w:pStyle w:val="Heading2"/>
      </w:pPr>
      <w:r>
        <w:t>Ubicación verificable en el corte DEV</w:t>
      </w:r>
    </w:p>
    <w:p>
      <w:pPr>
        <w:spacing w:line="245" w:lineRule="auto"/>
      </w:pPr>
      <w:r>
        <w:rPr>
          <w:rFonts w:ascii="Consolas" w:hAnsi="Consolas"/>
          <w:b w:val="0"/>
          <w:sz w:val="18"/>
        </w:rPr>
        <w:t>src/features/campaigns/useCampaignSections.ts · línea 9 · export function useCampaignSections</w:t>
      </w:r>
    </w:p>
    <w:p>
      <w:pPr>
        <w:spacing w:line="245" w:lineRule="auto"/>
      </w:pPr>
      <w:r>
        <w:rPr>
          <w:rFonts w:ascii="Consolas" w:hAnsi="Consolas"/>
          <w:b w:val="0"/>
          <w:sz w:val="18"/>
        </w:rPr>
        <w:t>src/features/campaigns/CampaignSectionsEditor.tsx · línea 17 · export function CampaignSectionsEditor</w:t>
      </w:r>
    </w:p>
    <w:p>
      <w:pPr>
        <w:spacing w:line="245" w:lineRule="auto"/>
      </w:pPr>
      <w:r>
        <w:rPr>
          <w:rFonts w:ascii="Consolas" w:hAnsi="Consolas"/>
          <w:b w:val="0"/>
          <w:sz w:val="18"/>
        </w:rPr>
        <w:t>backend/src/campaigns/application/sections.ts · línea 27 · export class CampaignSections</w:t>
      </w:r>
    </w:p>
    <w:p>
      <w:pPr>
        <w:pStyle w:val="Heading2"/>
      </w:pPr>
      <w:r>
        <w:t>Demostración y evidencia</w:t>
      </w:r>
    </w:p>
    <w:p>
      <w:r>
        <w:rPr>
          <w:b w:val="0"/>
        </w:rPr>
        <w:t>Buscar en el editor: no contiene fetch ni las operaciones de persistencia. Mostrar en el hook persist y sus callbacks de guardado. Ejecutar el render SSR de carga y las pruebas de cliente/reglas; el constructor continúa integrando los bloques.</w:t>
      </w:r>
    </w:p>
    <w:p>
      <w:pPr>
        <w:pStyle w:val="Heading2"/>
      </w:pPr>
      <w:r>
        <w:t>Alcance de la afirmación</w:t>
      </w:r>
    </w:p>
    <w:p>
      <w:r>
        <w:rPr>
          <w:b w:val="0"/>
        </w:rPr>
        <w:t>El hook coordina cuatro bloques relacionados y el constructor general conserva bastante estado. No se afirma que todo archivo tenga una única tarea microscópica ni que esta extracción reduzca por sí sola el número de bugs. La cobertura automatizada del hook es acotada; no prueba por sí sola todas las interacciones posibles de la interfaz.</w:t>
      </w:r>
    </w:p>
    <w:p>
      <w:pPr>
        <w:pStyle w:val="Heading2"/>
      </w:pPr>
      <w:r>
        <w:t>Justificación para la defensa</w:t>
      </w:r>
    </w:p>
    <w:p>
      <w:r>
        <w:rPr>
          <w:b w:val="0"/>
        </w:rPr>
        <w:t>Separamos coordinación y presentación para poder cambiar mensajes/controles sin reescribir red, y cambiar guardado sin alterar todo el marcado.</w:t>
      </w:r>
    </w:p>
    <w:p>
      <w:pPr>
        <w:pStyle w:val="Heading1"/>
        <w:pageBreakBefore/>
      </w:pPr>
      <w:r>
        <w:t>6 SOLID y abierto cerrado</w:t>
      </w:r>
    </w:p>
    <w:p>
      <w:pPr>
        <w:pStyle w:val="Heading2"/>
      </w:pPr>
      <w:r>
        <w:t>Concepto y problema que resuelve</w:t>
      </w:r>
    </w:p>
    <w:p>
      <w:r>
        <w:rPr>
          <w:b w:val="0"/>
        </w:rPr>
        <w:t>Diseñar puntos de variación que permitan extender comportamientos sin reescribir consumidores estables. No exige que nunca se modifique una línea existente: una corrección o un nuevo requisito puede requerir cambios.</w:t>
      </w:r>
    </w:p>
    <w:p>
      <w:pPr>
        <w:pStyle w:val="Heading2"/>
      </w:pPr>
      <w:r>
        <w:t>Aplicación y justificación en Brotar</w:t>
      </w:r>
    </w:p>
    <w:p>
      <w:r>
        <w:rPr>
          <w:b w:val="0"/>
        </w:rPr>
        <w:t>AdministrativeReview depende del contrato AdministrativeRepository. La misma coordinación se prueba con un repositorio en memoria y se ejecuta con TypeormAdministrativeRepository. requestApi admite un transporte send y una estrategia errorFromResponse; los módulos concretos validan sus propios contratos.</w:t>
      </w:r>
    </w:p>
    <w:p>
      <w:r>
        <w:rPr>
          <w:b w:val="0"/>
        </w:rPr>
        <w:t>Un punto extensible ya utilizado es el parámetro send de requestApi. Las pruebas reemplazan el transporte sin reescribir el consumidor. La elección de fetch sigue siendo válida para este contrato; utilizar Axios por sí solo no demostraría abierto/cerrado ni mejor seguridad.</w:t>
      </w:r>
    </w:p>
    <w:p>
      <w:pPr>
        <w:pStyle w:val="Heading2"/>
      </w:pPr>
      <w:r>
        <w:t>Ubicación verificable en el corte DEV</w:t>
      </w:r>
    </w:p>
    <w:p>
      <w:pPr>
        <w:spacing w:line="245" w:lineRule="auto"/>
      </w:pPr>
      <w:r>
        <w:rPr>
          <w:rFonts w:ascii="Consolas" w:hAnsi="Consolas"/>
          <w:b w:val="0"/>
          <w:sz w:val="18"/>
        </w:rPr>
        <w:t>backend/src/campaigns/application/administrative-review.ts · línea 18 · export interface AdministrativeRepository</w:t>
      </w:r>
    </w:p>
    <w:p>
      <w:pPr>
        <w:spacing w:line="245" w:lineRule="auto"/>
      </w:pPr>
      <w:r>
        <w:rPr>
          <w:rFonts w:ascii="Consolas" w:hAnsi="Consolas"/>
          <w:b w:val="0"/>
          <w:sz w:val="18"/>
        </w:rPr>
        <w:t>backend/src/campaigns/application/administrative-review.ts · línea 23 · export class AdministrativeReview</w:t>
      </w:r>
    </w:p>
    <w:p>
      <w:pPr>
        <w:spacing w:line="245" w:lineRule="auto"/>
      </w:pPr>
      <w:r>
        <w:rPr>
          <w:rFonts w:ascii="Consolas" w:hAnsi="Consolas"/>
          <w:b w:val="0"/>
          <w:sz w:val="18"/>
        </w:rPr>
        <w:t>src/shared/api/request.ts · línea 7 · errorFromResponse?</w:t>
      </w:r>
    </w:p>
    <w:p>
      <w:pPr>
        <w:pStyle w:val="Heading2"/>
      </w:pPr>
      <w:r>
        <w:t>Demostración y evidencia</w:t>
      </w:r>
    </w:p>
    <w:p>
      <w:r>
        <w:rPr>
          <w:b w:val="0"/>
        </w:rPr>
        <w:t>Mostrar en administrative-review.test.ts el objeto repository que cuenta escrituras. Activar/desactivar publicación sin cambiar el caso. Mostrar cómo el cliente de campañas especializa errores 400 sin duplicar todo requestApi.</w:t>
      </w:r>
    </w:p>
    <w:p>
      <w:pPr>
        <w:pStyle w:val="Heading2"/>
      </w:pPr>
      <w:r>
        <w:t>Alcance de la afirmación</w:t>
      </w:r>
    </w:p>
    <w:p>
      <w:r>
        <w:rPr>
          <w:b w:val="0"/>
        </w:rPr>
        <w:t>Cambiar PostgreSQL por otro motor sigue exigiendo implementar consultas, restricciones y migraciones; no es una sustitución gratuita. Agregar un nuevo estado o decisión podría modificar dominio, contratos, UI y base: no se anuncia OCP universal.</w:t>
      </w:r>
    </w:p>
    <w:p>
      <w:pPr>
        <w:pStyle w:val="Heading2"/>
      </w:pPr>
      <w:r>
        <w:t>Justificación para la defensa</w:t>
      </w:r>
    </w:p>
    <w:p>
      <w:r>
        <w:rPr>
          <w:b w:val="0"/>
        </w:rPr>
        <w:t>Dejamos extensible la persistencia y el transporte en puntos concretos; no añadimos una jerarquía por cada modalidad solo para mostrar el principio.</w:t>
      </w:r>
    </w:p>
    <w:p>
      <w:pPr>
        <w:pStyle w:val="Heading1"/>
        <w:pageBreakBefore/>
      </w:pPr>
      <w:r>
        <w:t>7 SOLID y sustitución de Liskov</w:t>
      </w:r>
    </w:p>
    <w:p>
      <w:pPr>
        <w:pStyle w:val="Heading2"/>
      </w:pPr>
      <w:r>
        <w:t>Concepto y problema que resuelve</w:t>
      </w:r>
    </w:p>
    <w:p>
      <w:r>
        <w:rPr>
          <w:b w:val="0"/>
        </w:rPr>
        <w:t>Una implementación o especialización debe conservar el contrato esperado por quien la consume. Coincidir en nombres o tipos no basta si cambia las promesas de errores, resultados o invariantes.</w:t>
      </w:r>
    </w:p>
    <w:p>
      <w:pPr>
        <w:pStyle w:val="Heading2"/>
      </w:pPr>
      <w:r>
        <w:t>Aplicación y justificación en Brotar</w:t>
      </w:r>
    </w:p>
    <w:p>
      <w:r>
        <w:rPr>
          <w:b w:val="0"/>
        </w:rPr>
        <w:t>DraftFieldError extiende SessionError, mantiene status=400 y agrega fields. requestApi conserva errores que ya son SessionError, de modo que vistas generales pueden tratarlos sin perder su estado HTTP; vistas de formulario aprovechan el detalle. Los dobles de repositorio conservan promesas y resultados del puerto.</w:t>
      </w:r>
    </w:p>
    <w:p>
      <w:pPr>
        <w:pStyle w:val="Heading2"/>
      </w:pPr>
      <w:r>
        <w:t>Ubicación verificable en el corte DEV</w:t>
      </w:r>
    </w:p>
    <w:p>
      <w:pPr>
        <w:spacing w:line="245" w:lineRule="auto"/>
      </w:pPr>
      <w:r>
        <w:rPr>
          <w:rFonts w:ascii="Consolas" w:hAnsi="Consolas"/>
          <w:b w:val="0"/>
          <w:sz w:val="18"/>
        </w:rPr>
        <w:t>src/features/campaigns/campaignsClient.ts · línea 50 · export class DraftFieldError</w:t>
      </w:r>
    </w:p>
    <w:p>
      <w:pPr>
        <w:spacing w:line="245" w:lineRule="auto"/>
      </w:pPr>
      <w:r>
        <w:rPr>
          <w:rFonts w:ascii="Consolas" w:hAnsi="Consolas"/>
          <w:b w:val="0"/>
          <w:sz w:val="18"/>
        </w:rPr>
        <w:t>src/shared/api/sessionError.ts · línea 2 · export class SessionError</w:t>
      </w:r>
    </w:p>
    <w:p>
      <w:pPr>
        <w:spacing w:line="245" w:lineRule="auto"/>
      </w:pPr>
      <w:r>
        <w:rPr>
          <w:rFonts w:ascii="Consolas" w:hAnsi="Consolas"/>
          <w:b w:val="0"/>
          <w:sz w:val="18"/>
        </w:rPr>
        <w:t>tests/api-request.test.ts · línea 22 · test('LSP</w:t>
      </w:r>
    </w:p>
    <w:p>
      <w:pPr>
        <w:pStyle w:val="Heading2"/>
      </w:pPr>
      <w:r>
        <w:t>Demostración y evidencia</w:t>
      </w:r>
    </w:p>
    <w:p>
      <w:r>
        <w:rPr>
          <w:b w:val="0"/>
        </w:rPr>
        <w:t>Ejecutar el caso LSP de api-request.test.ts: el error especializado es también SessionError y conserva status. Después probar un formulario inválido: se muestran campos, sin convertir el error en un éxito genérico.</w:t>
      </w:r>
    </w:p>
    <w:p>
      <w:pPr>
        <w:pStyle w:val="Heading2"/>
      </w:pPr>
      <w:r>
        <w:t>Alcance de la afirmación</w:t>
      </w:r>
    </w:p>
    <w:p>
      <w:r>
        <w:rPr>
          <w:b w:val="0"/>
        </w:rPr>
        <w:t>Un fake en memoria no demuestra por sí solo todas las garantías del repositorio SQL, especialmente concurrencia. La suite PostgreSQL complementa esa evidencia. No se creó herencia artificial entre usuario, creador y organización: esas responsabilidades se expresan mediante roles/relaciones.</w:t>
      </w:r>
    </w:p>
    <w:p>
      <w:pPr>
        <w:pStyle w:val="Heading2"/>
      </w:pPr>
      <w:r>
        <w:t>Justificación para la defensa</w:t>
      </w:r>
    </w:p>
    <w:p>
      <w:r>
        <w:rPr>
          <w:b w:val="0"/>
        </w:rPr>
        <w:t>El error más específico puede utilizarse donde se esperaba SessionError sin romper el consumidor; añade detalle, no cambia su significado.</w:t>
      </w:r>
    </w:p>
    <w:p>
      <w:pPr>
        <w:pStyle w:val="Heading1"/>
        <w:pageBreakBefore/>
      </w:pPr>
      <w:r>
        <w:t>8 SOLID y segregación de interfaces</w:t>
      </w:r>
    </w:p>
    <w:p>
      <w:pPr>
        <w:pStyle w:val="Heading2"/>
      </w:pPr>
      <w:r>
        <w:t>Concepto y problema que resuelve</w:t>
      </w:r>
    </w:p>
    <w:p>
      <w:r>
        <w:rPr>
          <w:b w:val="0"/>
        </w:rPr>
        <w:t>Los consumidores no deberían depender de operaciones que no necesitan. Un contrato se define por su uso, no por intentar reunir todo el sistema en una interfaz universal.</w:t>
      </w:r>
    </w:p>
    <w:p>
      <w:pPr>
        <w:pStyle w:val="Heading2"/>
      </w:pPr>
      <w:r>
        <w:t>Aplicación y justificación en Brotar</w:t>
      </w:r>
    </w:p>
    <w:p>
      <w:r>
        <w:rPr>
          <w:b w:val="0"/>
        </w:rPr>
        <w:t>SubmissionRepository ofrece snapshot, submit y observations. AdministrativeRepository se limita a detail, decide y publish. PublicCampaignRepository solo lista el contenido público. La capa de casos de uso no exige métodos de pagos, KYC o perfil para consultar campañas.</w:t>
      </w:r>
    </w:p>
    <w:p>
      <w:pPr>
        <w:pStyle w:val="Heading2"/>
      </w:pPr>
      <w:r>
        <w:t>Ubicación verificable en el corte DEV</w:t>
      </w:r>
    </w:p>
    <w:p>
      <w:pPr>
        <w:spacing w:line="245" w:lineRule="auto"/>
      </w:pPr>
      <w:r>
        <w:rPr>
          <w:rFonts w:ascii="Consolas" w:hAnsi="Consolas"/>
          <w:b w:val="0"/>
          <w:sz w:val="18"/>
        </w:rPr>
        <w:t>backend/src/campaigns/application/submission.ts · línea 8 · export interface SubmissionRepository</w:t>
      </w:r>
    </w:p>
    <w:p>
      <w:pPr>
        <w:spacing w:line="245" w:lineRule="auto"/>
      </w:pPr>
      <w:r>
        <w:rPr>
          <w:rFonts w:ascii="Consolas" w:hAnsi="Consolas"/>
          <w:b w:val="0"/>
          <w:sz w:val="18"/>
        </w:rPr>
        <w:t>backend/src/campaigns/application/administrative-review.ts · línea 18 · export interface AdministrativeRepository</w:t>
      </w:r>
    </w:p>
    <w:p>
      <w:pPr>
        <w:spacing w:line="245" w:lineRule="auto"/>
      </w:pPr>
      <w:r>
        <w:rPr>
          <w:rFonts w:ascii="Consolas" w:hAnsi="Consolas"/>
          <w:b w:val="0"/>
          <w:sz w:val="18"/>
        </w:rPr>
        <w:t>backend/src/campaigns/application/public-campaigns.ts · línea 10 · export interface PublicCampaignRepository</w:t>
      </w:r>
    </w:p>
    <w:p>
      <w:pPr>
        <w:pStyle w:val="Heading2"/>
      </w:pPr>
      <w:r>
        <w:t>Demostración y evidencia</w:t>
      </w:r>
    </w:p>
    <w:p>
      <w:r>
        <w:rPr>
          <w:b w:val="0"/>
        </w:rPr>
        <w:t>Abrir los tres contratos y comparar operaciones. Mostrar un doble de AdministrativeRepository que implementa únicamente tres métodos para ensayar decisiones. Mostrar que el catálogo no recibe datos privados de revisión.</w:t>
      </w:r>
    </w:p>
    <w:p>
      <w:pPr>
        <w:pStyle w:val="Heading2"/>
      </w:pPr>
      <w:r>
        <w:t>Alcance de la afirmación</w:t>
      </w:r>
    </w:p>
    <w:p>
      <w:r>
        <w:rPr>
          <w:b w:val="0"/>
        </w:rPr>
        <w:t>SectionsRepository conserva varios métodos de lectura/escritura y catálogo porque el constructor los utiliza. Podría refinarse si aparecen consumidores con necesidades distintas, pero no se crearon decenas de interfaces sin necesidad actual. Interfaces pequeñas no garantizan por sí mismas privacidad.</w:t>
      </w:r>
    </w:p>
    <w:p>
      <w:pPr>
        <w:pStyle w:val="Heading2"/>
      </w:pPr>
      <w:r>
        <w:t>Justificación para la defensa</w:t>
      </w:r>
    </w:p>
    <w:p>
      <w:r>
        <w:rPr>
          <w:b w:val="0"/>
        </w:rPr>
        <w:t>Los puertos se separan por caso de uso; el catálogo no debe implementar aprobación, autenticación ni pagos.</w:t>
      </w:r>
    </w:p>
    <w:p>
      <w:pPr>
        <w:pStyle w:val="Heading1"/>
        <w:pageBreakBefore/>
      </w:pPr>
      <w:r>
        <w:t>9 SOLID e inversión de dependencias</w:t>
      </w:r>
    </w:p>
    <w:p>
      <w:pPr>
        <w:pStyle w:val="Heading2"/>
      </w:pPr>
      <w:r>
        <w:t>Concepto y problema que resuelve</w:t>
      </w:r>
    </w:p>
    <w:p>
      <w:r>
        <w:rPr>
          <w:b w:val="0"/>
        </w:rPr>
        <w:t>Las reglas de alto nivel dependen de abstracciones de su propia capa, no de detalles de HTTP o persistencia. La inyección es una técnica de ensamblaje; no equivale automáticamente al principio.</w:t>
      </w:r>
    </w:p>
    <w:p>
      <w:pPr>
        <w:pStyle w:val="Heading2"/>
      </w:pPr>
      <w:r>
        <w:t>Aplicación y justificación en Brotar</w:t>
      </w:r>
    </w:p>
    <w:p>
      <w:r>
        <w:rPr>
          <w:b w:val="0"/>
        </w:rPr>
        <w:t>CampaignSections recibe DraftRepository y SectionsRepository; CampaignSubmission recibe puertos de borradores/envío; AdministrativeReview recibe su repositorio y una política booleana. Dominio/aplicación no importan NestJS, Express, TypeORM ni infrastructure. campaigns.module.ts ensambla adaptadores concretos.</w:t>
      </w:r>
    </w:p>
    <w:p>
      <w:r>
        <w:rPr>
          <w:b w:val="0"/>
        </w:rPr>
        <w:t>DIP e inyección no son sinónimos. El puerto pertenece a la aplicación; NestJS decide qué implementación concreta entregar. Si el caso de uso recibiera una clase SQL concreta como dependencia de negocio, usar un contenedor no eliminaría ese acoplamiento.</w:t>
      </w:r>
    </w:p>
    <w:p>
      <w:pPr>
        <w:pStyle w:val="Heading2"/>
      </w:pPr>
      <w:r>
        <w:t>Ubicación verificable en el corte DEV</w:t>
      </w:r>
    </w:p>
    <w:p>
      <w:pPr>
        <w:spacing w:line="245" w:lineRule="auto"/>
      </w:pPr>
      <w:r>
        <w:rPr>
          <w:rFonts w:ascii="Consolas" w:hAnsi="Consolas"/>
          <w:b w:val="0"/>
          <w:sz w:val="18"/>
        </w:rPr>
        <w:t>backend/src/campaigns/application/sections.ts · línea 6 · constructor(</w:t>
      </w:r>
    </w:p>
    <w:p>
      <w:pPr>
        <w:spacing w:line="245" w:lineRule="auto"/>
      </w:pPr>
      <w:r>
        <w:rPr>
          <w:rFonts w:ascii="Consolas" w:hAnsi="Consolas"/>
          <w:b w:val="0"/>
          <w:sz w:val="18"/>
        </w:rPr>
        <w:t>backend/src/campaigns/campaigns.module.ts · línea 43 · provide: AdministrativeReview</w:t>
      </w:r>
    </w:p>
    <w:p>
      <w:pPr>
        <w:spacing w:line="245" w:lineRule="auto"/>
      </w:pPr>
      <w:r>
        <w:rPr>
          <w:rFonts w:ascii="Consolas" w:hAnsi="Consolas"/>
          <w:b w:val="0"/>
          <w:sz w:val="18"/>
        </w:rPr>
        <w:t>backend/test/architecture.test.ts · línea 6 · test('BG-58</w:t>
      </w:r>
    </w:p>
    <w:p>
      <w:pPr>
        <w:pStyle w:val="Heading2"/>
      </w:pPr>
      <w:r>
        <w:t>Demostración y evidencia</w:t>
      </w:r>
    </w:p>
    <w:p>
      <w:r>
        <w:rPr>
          <w:b w:val="0"/>
        </w:rPr>
        <w:t>Ejecutar architecture.test.ts, que inspecciona imports de capas. Luego mostrar una prueba de aplicación que inyecta un repositorio fake. Finalmente seguir la factory de Nest para explicar qué implementación se usa realmente.</w:t>
      </w:r>
    </w:p>
    <w:p>
      <w:pPr>
        <w:pStyle w:val="Heading2"/>
      </w:pPr>
      <w:r>
        <w:t>Alcance de la afirmación</w:t>
      </w:r>
    </w:p>
    <w:p>
      <w:r>
        <w:rPr>
          <w:b w:val="0"/>
        </w:rPr>
        <w:t>La prueba de imports detecta una forma de acoplamiento, no garantiza una arquitectura perfecta. El adaptador debe conocer TypeORM y PostgreSQL: eso corresponde a infraestructura. Al cambiar el esquema se revisan adaptadores y migraciones, no solo el contenedor.</w:t>
      </w:r>
    </w:p>
    <w:p>
      <w:pPr>
        <w:pStyle w:val="Heading2"/>
      </w:pPr>
      <w:r>
        <w:t>Justificación para la defensa</w:t>
      </w:r>
    </w:p>
    <w:p>
      <w:r>
        <w:rPr>
          <w:b w:val="0"/>
        </w:rPr>
        <w:t>Los casos de uso piden operaciones de negocio mediante puertos; el módulo decide cómo conectarlos con PostgreSQL.</w:t>
      </w:r>
    </w:p>
    <w:p>
      <w:pPr>
        <w:pStyle w:val="Heading1"/>
        <w:pageBreakBefore/>
      </w:pPr>
      <w:r>
        <w:t>10 IoC inyección y composición</w:t>
      </w:r>
    </w:p>
    <w:p>
      <w:pPr>
        <w:pStyle w:val="Heading2"/>
      </w:pPr>
      <w:r>
        <w:t>Concepto y problema que resuelve</w:t>
      </w:r>
    </w:p>
    <w:p>
      <w:r>
        <w:rPr>
          <w:b w:val="0"/>
        </w:rPr>
        <w:t>IoC traslada el control de ensamblar dependencias fuera del caso de uso. Dependency Injection entrega esos objetos desde el exterior. Composición reúne colaboradores sin hacer que una clase herede de otra con una responsabilidad distinta.</w:t>
      </w:r>
    </w:p>
    <w:p>
      <w:pPr>
        <w:pStyle w:val="Heading2"/>
      </w:pPr>
      <w:r>
        <w:t>Aplicación y justificación en Brotar</w:t>
      </w:r>
    </w:p>
    <w:p>
      <w:r>
        <w:rPr>
          <w:b w:val="0"/>
        </w:rPr>
        <w:t>Nest registra adaptadores y useFactory construye los casos. CampaignSections usa repositorios; AdministrativeReview usa uno y una bandera. En frontend CampaignBuilderPage compone editor, portada y revisión; el editor utiliza un hook. No hereda de un “formulario universal”.</w:t>
      </w:r>
    </w:p>
    <w:p>
      <w:pPr>
        <w:pStyle w:val="Heading2"/>
      </w:pPr>
      <w:r>
        <w:t>Ubicación verificable en el corte DEV</w:t>
      </w:r>
    </w:p>
    <w:p>
      <w:pPr>
        <w:spacing w:line="245" w:lineRule="auto"/>
      </w:pPr>
      <w:r>
        <w:rPr>
          <w:rFonts w:ascii="Consolas" w:hAnsi="Consolas"/>
          <w:b w:val="0"/>
          <w:sz w:val="18"/>
        </w:rPr>
        <w:t>backend/src/campaigns/campaigns.module.ts · línea 39 · provide: CampaignSections</w:t>
      </w:r>
    </w:p>
    <w:p>
      <w:pPr>
        <w:spacing w:line="245" w:lineRule="auto"/>
      </w:pPr>
      <w:r>
        <w:rPr>
          <w:rFonts w:ascii="Consolas" w:hAnsi="Consolas"/>
          <w:b w:val="0"/>
          <w:sz w:val="18"/>
        </w:rPr>
        <w:t>src/features/campaigns/CampaignBuilderPage.tsx · línea 9 · CampaignSectionsEditor</w:t>
      </w:r>
    </w:p>
    <w:p>
      <w:pPr>
        <w:spacing w:line="245" w:lineRule="auto"/>
      </w:pPr>
      <w:r>
        <w:rPr>
          <w:rFonts w:ascii="Consolas" w:hAnsi="Consolas"/>
          <w:b w:val="0"/>
          <w:sz w:val="18"/>
        </w:rPr>
        <w:t>src/features/campaigns/CampaignSectionsEditor.tsx · línea 20 · useCampaignSections(props)</w:t>
      </w:r>
    </w:p>
    <w:p>
      <w:pPr>
        <w:pStyle w:val="Heading2"/>
      </w:pPr>
      <w:r>
        <w:t>Demostración y evidencia</w:t>
      </w:r>
    </w:p>
    <w:p>
      <w:r>
        <w:rPr>
          <w:b w:val="0"/>
        </w:rPr>
        <w:t>Seguir el ensamblaje: proveedor concreto &gt; constructor &gt; operación. Cambiar en un test el colaborador inyectado y observar la misma coordinación. Mostrar que actualizar portada no obliga a crear subclases de los demás pasos.</w:t>
      </w:r>
    </w:p>
    <w:p>
      <w:pPr>
        <w:pStyle w:val="Heading2"/>
      </w:pPr>
      <w:r>
        <w:t>Alcance de la afirmación</w:t>
      </w:r>
    </w:p>
    <w:p>
      <w:r>
        <w:rPr>
          <w:b w:val="0"/>
        </w:rPr>
        <w:t>La herencia no está prohibida: DraftFieldError es una especialización válida y algunos DTO comparten campos. Composición se prefiere cuando la relación es “usa/tiene”, no “es un”. Estos conceptos son distintos de Repository y de SOLID, aunque se complementen.</w:t>
      </w:r>
    </w:p>
    <w:p>
      <w:pPr>
        <w:pStyle w:val="Heading2"/>
      </w:pPr>
      <w:r>
        <w:t>Justificación para la defensa</w:t>
      </w:r>
    </w:p>
    <w:p>
      <w:r>
        <w:rPr>
          <w:b w:val="0"/>
        </w:rPr>
        <w:t>No hacemos que la revisión sea una base de datos; la revisión usa un repositorio que recibe al construirse.</w:t>
      </w:r>
    </w:p>
    <w:p>
      <w:pPr>
        <w:pStyle w:val="Heading1"/>
        <w:pageBreakBefore/>
      </w:pPr>
      <w:r>
        <w:t>11 Boy Scout y mejoras acotadas</w:t>
      </w:r>
    </w:p>
    <w:p>
      <w:pPr>
        <w:pStyle w:val="Heading2"/>
      </w:pPr>
      <w:r>
        <w:t>Concepto y problema que resuelve</w:t>
      </w:r>
    </w:p>
    <w:p>
      <w:r>
        <w:rPr>
          <w:b w:val="0"/>
        </w:rPr>
        <w:t>Dejar el área intervenida en mejor estado mediante correcciones pequeñas y justificadas. No convertir una entrega en una reescritura completa ni tocar código correcto para aparentar más trabajo.</w:t>
      </w:r>
    </w:p>
    <w:p>
      <w:pPr>
        <w:pStyle w:val="Heading2"/>
      </w:pPr>
      <w:r>
        <w:t>Aplicación y justificación en Brotar</w:t>
      </w:r>
    </w:p>
    <w:p>
      <w:r>
        <w:rPr>
          <w:b w:val="0"/>
        </w:rPr>
        <w:t>En esta revisión se corrigieron la comparación decimal, suma de céntimos, fechas imposibles, NUL en texto persistido, límites técnicos de 5000, respuesta de ronda inválida y límite HTML de contraseñas Unicode. Se añadió edición de notas de partida y se separó el hook; se mantuvieron hash, sesión y arquitectura existentes.</w:t>
      </w:r>
    </w:p>
    <w:p>
      <w:pPr>
        <w:pStyle w:val="Heading2"/>
      </w:pPr>
      <w:r>
        <w:t>Ubicación verificable en el corte DEV</w:t>
      </w:r>
    </w:p>
    <w:p>
      <w:pPr>
        <w:spacing w:line="245" w:lineRule="auto"/>
      </w:pPr>
      <w:r>
        <w:rPr>
          <w:rFonts w:ascii="Consolas" w:hAnsi="Consolas"/>
          <w:b w:val="0"/>
          <w:sz w:val="18"/>
        </w:rPr>
        <w:t>backend/test/sprint2-quality.test.ts · línea 15 · test('S2 calidad</w:t>
      </w:r>
    </w:p>
    <w:p>
      <w:pPr>
        <w:spacing w:line="245" w:lineRule="auto"/>
      </w:pPr>
      <w:r>
        <w:rPr>
          <w:rFonts w:ascii="Consolas" w:hAnsi="Consolas"/>
          <w:b w:val="0"/>
          <w:sz w:val="18"/>
        </w:rPr>
        <w:t>tests/sprint2-quality.test.tsx · línea 18 · test('S2 calidad</w:t>
      </w:r>
    </w:p>
    <w:p>
      <w:pPr>
        <w:spacing w:line="245" w:lineRule="auto"/>
      </w:pPr>
      <w:r>
        <w:rPr>
          <w:rFonts w:ascii="Consolas" w:hAnsi="Consolas"/>
          <w:b w:val="0"/>
          <w:sz w:val="18"/>
        </w:rPr>
        <w:t>src/features/access/AccessComponents.tsx · línea 18 · const htmlLimit</w:t>
      </w:r>
    </w:p>
    <w:p>
      <w:pPr>
        <w:pStyle w:val="Heading2"/>
      </w:pPr>
      <w:r>
        <w:t>Demostración y evidencia</w:t>
      </w:r>
    </w:p>
    <w:p>
      <w:r>
        <w:rPr>
          <w:b w:val="0"/>
        </w:rPr>
        <w:t>Mostrar antes/problema/después con un caso reproducible: importe válido alto, 31/02, nota NUL o contraseña con emoji. Ejecutar la regresión y explicar qué decisión no cambió. Las notas de presupuesto ya existían en el contrato; se hicieron editables.</w:t>
      </w:r>
    </w:p>
    <w:p>
      <w:pPr>
        <w:pStyle w:val="Heading2"/>
      </w:pPr>
      <w:r>
        <w:t>Alcance de la afirmación</w:t>
      </w:r>
    </w:p>
    <w:p>
      <w:r>
        <w:rPr>
          <w:b w:val="0"/>
        </w:rPr>
        <w:t>5000 es límite técnico de entrada, no aprobación del cliente sobre el tamaño del contenido. No se prometen validaciones perfectas para toda futura funcionalidad ni seguridad absoluta. El límite de contraseñas HTML permite hasta dos unidades UTF-16 por punto; la validación sigue rechazando más de 128 puntos de código.</w:t>
      </w:r>
    </w:p>
    <w:p>
      <w:pPr>
        <w:pStyle w:val="Heading2"/>
      </w:pPr>
      <w:r>
        <w:t>Justificación para la defensa</w:t>
      </w:r>
    </w:p>
    <w:p>
      <w:r>
        <w:rPr>
          <w:b w:val="0"/>
        </w:rPr>
        <w:t>Mejoramos fallos observables y su evidencia sin rehacer el proyecto ni inventar reglas pendientes.</w:t>
      </w:r>
    </w:p>
    <w:p>
      <w:pPr>
        <w:pStyle w:val="Heading1"/>
        <w:pageBreakBefore/>
      </w:pPr>
      <w:r>
        <w:t>12 Repository Adapter y límites de los patrones</w:t>
      </w:r>
    </w:p>
    <w:p>
      <w:pPr>
        <w:pStyle w:val="Heading2"/>
      </w:pPr>
      <w:r>
        <w:t>Repository</w:t>
      </w:r>
    </w:p>
    <w:p>
      <w:r>
        <w:rPr>
          <w:b w:val="0"/>
        </w:rPr>
        <w:t>AdministrativeRepository, SubmissionRepository y PublicCampaignRepository describen operaciones que los casos de uso necesitan sin incluir SQL. TypeormAdministrativeRepository, TypeormSubmissionRepository y TypeormPublicCampaignRepository implementan esas operaciones sobre la base oficial. La separación permite probar coordinación con dobles y concentrar consultas, transacciones y mapeo en infraestructura.</w:t>
      </w:r>
    </w:p>
    <w:p>
      <w:pPr>
        <w:spacing w:line="245" w:lineRule="auto"/>
      </w:pPr>
      <w:r>
        <w:rPr>
          <w:rFonts w:ascii="Consolas" w:hAnsi="Consolas"/>
          <w:b w:val="0"/>
          <w:sz w:val="18"/>
        </w:rPr>
        <w:t>backend/src/campaigns/application/administrative-review.ts · línea 18 · export interface AdministrativeRepository</w:t>
      </w:r>
    </w:p>
    <w:p>
      <w:pPr>
        <w:spacing w:line="245" w:lineRule="auto"/>
      </w:pPr>
      <w:r>
        <w:rPr>
          <w:rFonts w:ascii="Consolas" w:hAnsi="Consolas"/>
          <w:b w:val="0"/>
          <w:sz w:val="18"/>
        </w:rPr>
        <w:t>backend/src/campaigns/infrastructure/typeorm-administrative.repository.ts · línea 14 · export class TypeormAdministrativeRepository</w:t>
      </w:r>
    </w:p>
    <w:p>
      <w:r>
        <w:rPr>
          <w:b w:val="0"/>
        </w:rPr>
        <w:t>Ejemplo: AdministrativeReview solicita decide(actorId, id, input); no calcula nombres de tablas ni abre conexiones. El adaptador bloquea registros y persiste la decisión. Un doble de prueba puede comprobar que una entrada inválida no llega a escribir; PostgreSQL real debe comprobar la concurrencia que el doble no reproduce.</w:t>
      </w:r>
    </w:p>
    <w:p>
      <w:pPr>
        <w:pStyle w:val="Heading2"/>
      </w:pPr>
      <w:r>
        <w:t>Adapter</w:t>
      </w:r>
    </w:p>
    <w:p>
      <w:r>
        <w:rPr>
          <w:b w:val="0"/>
        </w:rPr>
        <w:t>mapPublicCampaign traduce el contrato HTTP de catálogo al modelo Project utilizado por las tarjetas y el detalle. Verifica identificadores, importes, contenido e imagen. Los repositorios también adaptan los puertos de aplicación a PostgreSQL. El beneficio es mantener formatos de frontera fuera de la vista o del caso de uso, no ocultar un fallo con datos simulados.</w:t>
      </w:r>
    </w:p>
    <w:p>
      <w:pPr>
        <w:spacing w:line="245" w:lineRule="auto"/>
      </w:pPr>
      <w:r>
        <w:rPr>
          <w:rFonts w:ascii="Consolas" w:hAnsi="Consolas"/>
          <w:b w:val="0"/>
          <w:sz w:val="18"/>
        </w:rPr>
        <w:t>src/features/public/campaignsApi.ts · línea 23 · export function mapPublicCampaign</w:t>
      </w:r>
    </w:p>
    <w:p>
      <w:r>
        <w:rPr>
          <w:b w:val="0"/>
        </w:rPr>
        <w:t>Demostración: un contrato público malformado o una respuesta 404 no genera una tarjeta de ejemplo. Las pruebas de public-campaigns y administrative-campaigns comprueban que la lectura no anuncia éxito con datos anidados inválidos. La función mapPublicCampaign no concede acceso a una campaña privada: esa exclusión pertenece al backend.</w:t>
      </w:r>
    </w:p>
    <w:p>
      <w:pPr>
        <w:pStyle w:val="Heading2"/>
      </w:pPr>
      <w:r>
        <w:t>Patrones no afirmados</w:t>
      </w:r>
    </w:p>
    <w:p>
      <w:r>
        <w:rPr>
          <w:b w:val="0"/>
        </w:rPr>
        <w:t>No se presenta Event Sourcing, CQRS completo, una máquina de estados genérica, Unit of Work propio ni una jerarquía GoF Strategy por cada modalidad. Tener tablas de historial no constituye Event Sourcing; separar lectura de escritura no prueba CQRS. El proyecto utiliza transacciones de TypeORM y reglas explícitas, suficientes para el alcance actual.</w:t>
      </w:r>
    </w:p>
    <w:p>
      <w:pPr>
        <w:pStyle w:val="Heading1"/>
        <w:pageBreakBefore/>
      </w:pPr>
      <w:r>
        <w:t>13 Asincronía transacciones y control de concurrencia</w:t>
      </w:r>
    </w:p>
    <w:p>
      <w:r>
        <w:rPr>
          <w:b w:val="0"/>
        </w:rPr>
        <w:t>Promise.all carga secciones independientes del constructor. AbortController cancela lecturas obsoletas al abandonar una página; las comprobaciones de montaje evitan aplicar resultados a una vista ya cerrada. async/await mantiene legible la secuencia de guardado. Estas técnicas coordinan efectos, pero no garantizan que varias escrituras sean atómicas.</w:t>
      </w:r>
    </w:p>
    <w:p>
      <w:pPr>
        <w:pStyle w:val="Heading2"/>
      </w:pPr>
      <w:r>
        <w:t>Lectura coherente del expediente</w:t>
      </w:r>
    </w:p>
    <w:p>
      <w:r>
        <w:rPr>
          <w:b w:val="0"/>
        </w:rPr>
        <w:t>El detalle administrativo se construye dentro de REPEATABLE READ usando el mismo EntityManager con consultas secuenciales. Así se evita presentar una mezcla de secciones correspondientes a snapshots distintos. La decisión se toma después sobre una ronda esperada; leer una revisión no autoriza a modificar cualquier versión futura.</w:t>
      </w:r>
    </w:p>
    <w:p>
      <w:pPr>
        <w:spacing w:line="245" w:lineRule="auto"/>
      </w:pPr>
      <w:r>
        <w:rPr>
          <w:rFonts w:ascii="Consolas" w:hAnsi="Consolas"/>
          <w:b w:val="0"/>
          <w:sz w:val="18"/>
        </w:rPr>
        <w:t>backend/src/campaigns/infrastructure/typeorm-administrative.repository.ts · línea 20 · transaction('REPEATABLE READ'</w:t>
      </w:r>
    </w:p>
    <w:p>
      <w:pPr>
        <w:pStyle w:val="Heading2"/>
      </w:pPr>
      <w:r>
        <w:t>Escritura atómica y conflicto explícito</w:t>
      </w:r>
    </w:p>
    <w:p>
      <w:r>
        <w:rPr>
          <w:b w:val="0"/>
        </w:rPr>
        <w:t>La decisión y la publicación bloquean campaña y última ronda mediante SELECT FOR UPDATE. expectedRound verifica que la vista corresponda a la revisión vigente. Dentro de la transacción se validan estado/completitud y se actualizan revisión, campaña, observaciones e historial. Una falla provoca rollback; una segunda acción concurrente obtiene conflicto después de la transición válida.</w:t>
      </w:r>
    </w:p>
    <w:p>
      <w:pPr>
        <w:spacing w:line="245" w:lineRule="auto"/>
      </w:pPr>
      <w:r>
        <w:rPr>
          <w:rFonts w:ascii="Consolas" w:hAnsi="Consolas"/>
          <w:b w:val="0"/>
          <w:sz w:val="18"/>
        </w:rPr>
        <w:t>backend/src/campaigns/infrastructure/typeorm-administrative.repository.ts · línea 51 · private async lock</w:t>
      </w:r>
    </w:p>
    <w:p>
      <w:pPr>
        <w:spacing w:line="245" w:lineRule="auto"/>
      </w:pPr>
      <w:r>
        <w:rPr>
          <w:rFonts w:ascii="Consolas" w:hAnsi="Consolas"/>
          <w:b w:val="0"/>
          <w:sz w:val="18"/>
        </w:rPr>
        <w:t>Bloquear campaña y ronda → validar estado y expectedRound → persistir → confirmar transacción</w:t>
      </w:r>
    </w:p>
    <w:p>
      <w:r>
        <w:rPr>
          <w:b w:val="0"/>
        </w:rPr>
        <w:t>Se reutiliza el trigger oficial del historial y se añade motivo/contexto a su entrada, en lugar de producir un historial paralelo duplicado. APPROVED permanece privada; publicar exige una operación distinta y autorizada. La provisión de roles no forma parte de esta transacción de campaña.</w:t>
      </w:r>
    </w:p>
    <w:p>
      <w:pPr>
        <w:pStyle w:val="Heading2"/>
      </w:pPr>
      <w:r>
        <w:t>Prueba que demuestra el beneficio</w:t>
      </w:r>
    </w:p>
    <w:p>
      <w:pPr>
        <w:spacing w:line="245" w:lineRule="auto"/>
      </w:pPr>
      <w:r>
        <w:rPr>
          <w:rFonts w:ascii="Consolas" w:hAnsi="Consolas"/>
          <w:b w:val="0"/>
          <w:sz w:val="18"/>
        </w:rPr>
        <w:t>backend/integration/campaign-sections-submission.integration.test.ts</w:t>
      </w:r>
    </w:p>
    <w:p>
      <w:r>
        <w:rPr>
          <w:b w:val="0"/>
        </w:rPr>
        <w:t>La integración ejecuta envío, cambios, reenvío, aprobación, publicación y rechazo mediante APIs reales. Incluye entradas incompletas, catálogos deshabilitados y solicitudes concurrentes. Que un botón se deshabilite no sustituye esta protección: dos clientes independientes pueden enviar a la vez.</w:t>
      </w:r>
    </w:p>
    <w:p>
      <w:r>
        <w:rPr>
          <w:b w:val="0"/>
        </w:rPr>
        <w:t>Los bloqueos y el aislamiento tienen coste y deben aplicarse a los datos relevantes. No se afirma serialización global del sistema ni garantía de disponibilidad bajo toda carga. La consistencia verificada corresponde a las transiciones y operaciones cubiertas por este incremento.</w:t>
      </w:r>
    </w:p>
    <w:p>
      <w:pPr>
        <w:pStyle w:val="Heading1"/>
        <w:pageBreakBefore/>
      </w:pPr>
      <w:r>
        <w:t>14 Validación defensa técnica y conclusión</w:t>
      </w:r>
    </w:p>
    <w:p>
      <w:r>
        <w:rPr>
          <w:b w:val="0"/>
        </w:rPr>
        <w:t>La calidad del diseño se contrasta con comportamiento, no con la cantidad de principios nombrados. Los validadores del navegador mejoran la corrección del formulario; DTO y dominio vuelven a validar en servidor. La duplicación deliberada de reglas entre fronteras exige pruebas de paridad y no se resuelve eliminando una de las defensas.</w:t>
      </w:r>
    </w:p>
    <w:tbl>
      <w:tblPr>
        <w:tblW w:type="auto" w:w="0"/>
        <w:jc w:val="center"/>
        <w:tblLayout w:type="fixed"/>
        <w:tblLook w:firstColumn="1" w:firstRow="1" w:lastColumn="0" w:lastRow="0" w:noHBand="0" w:noVBand="1" w:val="04A0"/>
      </w:tblPr>
      <w:tblGrid>
        <w:gridCol w:w="3096"/>
        <w:gridCol w:w="3096"/>
        <w:gridCol w:w="3600"/>
      </w:tblGrid>
      <w:tr>
        <w:trPr>
          <w:tblHeader/>
          <w:cantSplit/>
        </w:trPr>
        <w:tc>
          <w:tcPr>
            <w:tcW w:type="dxa" w:w="309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E7EDF3"/>
          </w:tcPr>
          <w:p>
            <w:pPr>
              <w:spacing w:after="40" w:line="245" w:lineRule="auto"/>
              <w:jc w:val="center"/>
            </w:pPr>
            <w:r>
              <w:rPr>
                <w:b/>
                <w:sz w:val="20"/>
              </w:rPr>
              <w:t>Pregunta del docente</w:t>
            </w:r>
          </w:p>
        </w:tc>
        <w:tc>
          <w:tcPr>
            <w:tcW w:type="dxa" w:w="309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E7EDF3"/>
          </w:tcPr>
          <w:p>
            <w:pPr>
              <w:spacing w:after="40" w:line="245" w:lineRule="auto"/>
            </w:pPr>
            <w:r>
              <w:rPr>
                <w:b/>
                <w:sz w:val="20"/>
              </w:rPr>
              <w:t>Código para mostrar</w:t>
            </w:r>
          </w:p>
        </w:tc>
        <w:tc>
          <w:tcPr>
            <w:tcW w:type="dxa" w:w="360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E7EDF3"/>
          </w:tcPr>
          <w:p>
            <w:pPr>
              <w:spacing w:after="40" w:line="245" w:lineRule="auto"/>
            </w:pPr>
            <w:r>
              <w:rPr>
                <w:b/>
                <w:sz w:val="20"/>
              </w:rPr>
              <w:t>Razón concreta</w:t>
            </w:r>
          </w:p>
        </w:tc>
      </w:tr>
      <w:tr>
        <w:trPr>
          <w:cantSplit/>
        </w:trPr>
        <w:tc>
          <w:tcPr>
            <w:tcW w:type="dxa" w:w="309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line="245" w:lineRule="auto"/>
              <w:jc w:val="center"/>
            </w:pPr>
            <w:r>
              <w:rPr>
                <w:b w:val="0"/>
                <w:sz w:val="20"/>
              </w:rPr>
              <w:t>Dónde se separó lógica y vista</w:t>
            </w:r>
          </w:p>
        </w:tc>
        <w:tc>
          <w:tcPr>
            <w:tcW w:type="dxa" w:w="309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line="245" w:lineRule="auto"/>
            </w:pPr>
            <w:r>
              <w:rPr>
                <w:b w:val="0"/>
                <w:sz w:val="20"/>
              </w:rPr>
              <w:t>useCampaignSections y editor</w:t>
            </w:r>
          </w:p>
        </w:tc>
        <w:tc>
          <w:tcPr>
            <w:tcW w:type="dxa" w:w="360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line="245" w:lineRule="auto"/>
            </w:pPr>
            <w:r>
              <w:rPr>
                <w:b w:val="0"/>
                <w:sz w:val="20"/>
              </w:rPr>
              <w:t>Cambiar coordinación sin rehacer marcado</w:t>
            </w:r>
          </w:p>
        </w:tc>
      </w:tr>
      <w:tr>
        <w:trPr>
          <w:cantSplit/>
        </w:trPr>
        <w:tc>
          <w:tcPr>
            <w:tcW w:type="dxa" w:w="309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6F6F6"/>
          </w:tcPr>
          <w:p>
            <w:pPr>
              <w:spacing w:after="40" w:line="245" w:lineRule="auto"/>
              <w:jc w:val="center"/>
            </w:pPr>
            <w:r>
              <w:rPr>
                <w:b w:val="0"/>
                <w:sz w:val="20"/>
              </w:rPr>
              <w:t>Cómo se evita repetir HTTP</w:t>
            </w:r>
          </w:p>
        </w:tc>
        <w:tc>
          <w:tcPr>
            <w:tcW w:type="dxa" w:w="309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6F6F6"/>
          </w:tcPr>
          <w:p>
            <w:pPr>
              <w:spacing w:after="40" w:line="245" w:lineRule="auto"/>
            </w:pPr>
            <w:r>
              <w:rPr>
                <w:b w:val="0"/>
                <w:sz w:val="20"/>
              </w:rPr>
              <w:t>requestApi</w:t>
            </w:r>
          </w:p>
        </w:tc>
        <w:tc>
          <w:tcPr>
            <w:tcW w:type="dxa" w:w="360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6F6F6"/>
          </w:tcPr>
          <w:p>
            <w:pPr>
              <w:spacing w:after="40" w:line="245" w:lineRule="auto"/>
            </w:pPr>
            <w:r>
              <w:rPr>
                <w:b w:val="0"/>
                <w:sz w:val="20"/>
              </w:rPr>
              <w:t>Cookies, timeout y errores uniformes</w:t>
            </w:r>
          </w:p>
        </w:tc>
      </w:tr>
      <w:tr>
        <w:trPr>
          <w:cantSplit/>
        </w:trPr>
        <w:tc>
          <w:tcPr>
            <w:tcW w:type="dxa" w:w="309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line="245" w:lineRule="auto"/>
              <w:jc w:val="center"/>
            </w:pPr>
            <w:r>
              <w:rPr>
                <w:b w:val="0"/>
                <w:sz w:val="20"/>
              </w:rPr>
              <w:t>Cómo se prueba sin PostgreSQL</w:t>
            </w:r>
          </w:p>
        </w:tc>
        <w:tc>
          <w:tcPr>
            <w:tcW w:type="dxa" w:w="309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line="245" w:lineRule="auto"/>
            </w:pPr>
            <w:r>
              <w:rPr>
                <w:b w:val="0"/>
                <w:sz w:val="20"/>
              </w:rPr>
              <w:t>AdministrativeRepository y doble</w:t>
            </w:r>
          </w:p>
        </w:tc>
        <w:tc>
          <w:tcPr>
            <w:tcW w:type="dxa" w:w="360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line="245" w:lineRule="auto"/>
            </w:pPr>
            <w:r>
              <w:rPr>
                <w:b w:val="0"/>
                <w:sz w:val="20"/>
              </w:rPr>
              <w:t>Coordinar mediante un puerto</w:t>
            </w:r>
          </w:p>
        </w:tc>
      </w:tr>
      <w:tr>
        <w:trPr>
          <w:cantSplit/>
        </w:trPr>
        <w:tc>
          <w:tcPr>
            <w:tcW w:type="dxa" w:w="309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6F6F6"/>
          </w:tcPr>
          <w:p>
            <w:pPr>
              <w:spacing w:after="40" w:line="245" w:lineRule="auto"/>
              <w:jc w:val="center"/>
            </w:pPr>
            <w:r>
              <w:rPr>
                <w:b w:val="0"/>
                <w:sz w:val="20"/>
              </w:rPr>
              <w:t>Qué evita dos decisiones</w:t>
            </w:r>
          </w:p>
        </w:tc>
        <w:tc>
          <w:tcPr>
            <w:tcW w:type="dxa" w:w="309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6F6F6"/>
          </w:tcPr>
          <w:p>
            <w:pPr>
              <w:spacing w:after="40" w:line="245" w:lineRule="auto"/>
            </w:pPr>
            <w:r>
              <w:rPr>
                <w:b w:val="0"/>
                <w:sz w:val="20"/>
              </w:rPr>
              <w:t>lock y expectedRound</w:t>
            </w:r>
          </w:p>
        </w:tc>
        <w:tc>
          <w:tcPr>
            <w:tcW w:type="dxa" w:w="360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6F6F6"/>
          </w:tcPr>
          <w:p>
            <w:pPr>
              <w:spacing w:after="40" w:line="245" w:lineRule="auto"/>
            </w:pPr>
            <w:r>
              <w:rPr>
                <w:b w:val="0"/>
                <w:sz w:val="20"/>
              </w:rPr>
              <w:t>Estado y ronda comprobados bajo transacción</w:t>
            </w:r>
          </w:p>
        </w:tc>
      </w:tr>
      <w:tr>
        <w:trPr>
          <w:cantSplit/>
        </w:trPr>
        <w:tc>
          <w:tcPr>
            <w:tcW w:type="dxa" w:w="309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line="245" w:lineRule="auto"/>
              <w:jc w:val="center"/>
            </w:pPr>
            <w:r>
              <w:rPr>
                <w:b w:val="0"/>
                <w:sz w:val="20"/>
              </w:rPr>
              <w:t>Por qué no se agregó checkout</w:t>
            </w:r>
          </w:p>
        </w:tc>
        <w:tc>
          <w:tcPr>
            <w:tcW w:type="dxa" w:w="309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line="245" w:lineRule="auto"/>
            </w:pPr>
            <w:r>
              <w:rPr>
                <w:b w:val="0"/>
                <w:sz w:val="20"/>
              </w:rPr>
              <w:t>Alcance Fase 3 sección 11</w:t>
            </w:r>
          </w:p>
        </w:tc>
        <w:tc>
          <w:tcPr>
            <w:tcW w:type="dxa" w:w="360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line="245" w:lineRule="auto"/>
            </w:pPr>
            <w:r>
              <w:rPr>
                <w:b w:val="0"/>
                <w:sz w:val="20"/>
              </w:rPr>
              <w:t>Funcionalidad expresamente excluida</w:t>
            </w:r>
          </w:p>
        </w:tc>
      </w:tr>
    </w:tbl>
    <w:p>
      <w:r>
        <w:rPr>
          <w:b w:val="0"/>
        </w:rPr>
      </w:r>
    </w:p>
    <w:p>
      <w:r>
        <w:rPr>
          <w:b w:val="0"/>
        </w:rPr>
        <w:t>La refactorización extrajo el hook y corrigió decimales, fechas imposibles, NUL y límites Unicode. Las capas, puertos, hash y controles de sesión existentes se conservaron. El último ensayo registrado aprobó 300 casos, incluidos Sprint 1, procedimiento ADMIN e integración real; no se ejecutaron nuevamente para redactar este documento.</w:t>
      </w:r>
    </w:p>
    <w:p>
      <w:r>
        <w:rPr>
          <w:b w:val="0"/>
        </w:rPr>
        <w:t>Ejemplos adicionales del incremento final son GuestAccessGate y CreatorAccessActions: cada uno concentra una decisión de acceso o presentación, comparte la sesión confirmada y evita un login redundante. El servidor continúa siendo autoridad. La recuperación solo notifica cambio de sesión tras confirmación, evitando convertir un fallo en una actualización engañosa.</w:t>
      </w:r>
    </w:p>
    <w:p>
      <w:pPr>
        <w:spacing w:line="245" w:lineRule="auto"/>
      </w:pPr>
      <w:r>
        <w:rPr>
          <w:rFonts w:ascii="Consolas" w:hAnsi="Consolas"/>
          <w:b w:val="0"/>
          <w:sz w:val="18"/>
        </w:rPr>
        <w:t>src/features/access/session/GuestAccessGate.tsx · línea 10 · export function GuestAccessGate</w:t>
      </w:r>
    </w:p>
    <w:p>
      <w:pPr>
        <w:spacing w:line="245" w:lineRule="auto"/>
      </w:pPr>
      <w:r>
        <w:rPr>
          <w:rFonts w:ascii="Consolas" w:hAnsi="Consolas"/>
          <w:b w:val="0"/>
          <w:sz w:val="18"/>
        </w:rPr>
        <w:t>tests/session-navigation.test.ts</w:t>
      </w:r>
    </w:p>
    <w:p>
      <w:r>
        <w:rPr>
          <w:b w:val="0"/>
        </w:rPr>
        <w:t>Conclusión. Los principios se aplican de forma acotada y justificable al flujo de campañas. Separación de responsabilidades, puertos, adaptación de contratos y consistencia transaccional permiten defender por qué el código tiene esta estructura. Ningún principio sustituye autorización, pruebas de integración o aceptación final del cliente.</w:t>
      </w:r>
    </w:p>
    <w:p>
      <w:pPr>
        <w:pStyle w:val="Heading2"/>
      </w:pPr>
      <w:r>
        <w:t>Referencias</w:t>
      </w:r>
    </w:p>
    <w:p>
      <w:pPr>
        <w:spacing w:line="245" w:lineRule="auto"/>
      </w:pPr>
      <w:r>
        <w:rPr>
          <w:rFonts w:ascii="Consolas" w:hAnsi="Consolas"/>
          <w:b w:val="0"/>
          <w:sz w:val="18"/>
        </w:rPr>
        <w:t>README.md</w:t>
      </w:r>
    </w:p>
    <w:p>
      <w:pPr>
        <w:spacing w:line="245" w:lineRule="auto"/>
      </w:pPr>
      <w:r>
        <w:rPr>
          <w:rFonts w:ascii="Consolas" w:hAnsi="Consolas"/>
          <w:b w:val="0"/>
          <w:sz w:val="18"/>
        </w:rPr>
        <w:t>backend/test/architecture.test.ts</w:t>
      </w:r>
    </w:p>
    <w:p>
      <w:pPr>
        <w:spacing w:line="245" w:lineRule="auto"/>
      </w:pPr>
      <w:r>
        <w:rPr>
          <w:rFonts w:ascii="Consolas" w:hAnsi="Consolas"/>
          <w:b w:val="0"/>
          <w:sz w:val="18"/>
        </w:rPr>
        <w:t>tests/api-request.test.ts</w:t>
      </w:r>
    </w:p>
    <w:p>
      <w:pPr>
        <w:spacing w:line="245" w:lineRule="auto"/>
      </w:pPr>
      <w:r>
        <w:rPr>
          <w:rFonts w:ascii="Consolas" w:hAnsi="Consolas"/>
          <w:b w:val="0"/>
          <w:sz w:val="18"/>
        </w:rPr>
        <w:t>tests/sprint2-quality.test.tsx</w:t>
      </w:r>
    </w:p>
    <w:p>
      <w:pPr>
        <w:spacing w:line="245" w:lineRule="auto"/>
      </w:pPr>
      <w:r>
        <w:rPr>
          <w:rFonts w:ascii="Consolas" w:hAnsi="Consolas"/>
          <w:b w:val="0"/>
          <w:sz w:val="18"/>
        </w:rPr>
        <w:t>backend/test/sprint2-quality.test.ts</w:t>
      </w:r>
    </w:p>
    <w:p>
      <w:pPr>
        <w:spacing w:line="245" w:lineRule="auto"/>
      </w:pPr>
      <w:r>
        <w:rPr>
          <w:rFonts w:ascii="Consolas" w:hAnsi="Consolas"/>
          <w:b w:val="0"/>
          <w:sz w:val="18"/>
        </w:rPr>
        <w:t>docs/cierre-tecnico-sprint-2-2026-10-05.md</w:t>
      </w:r>
    </w:p>
    <w:p>
      <w:r>
        <w:rPr>
          <w:b w:val="0"/>
        </w:rPr>
        <w:t>Las rutas y líneas de este informe corresponden al commit 1fcecd4 de DEV. Al modificar el código posteriormente deben localizarse de nuevo por el símbolo indicado. Los reportes históricos registran comprobaciones anteriores, no decisiones finales de cliente.</w:t>
      </w:r>
    </w:p>
    <w:sectPr w:rsidR="00FC693F" w:rsidRPr="0006063C" w:rsidSect="00034616">
      <w:footerReference w:type="default" r:id="rId9"/>
      <w:pgSz w:w="12240" w:h="15840"/>
      <w:pgMar w:top="1123" w:right="1195" w:bottom="1037" w:left="119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BROTAR   |   Sprint 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00"/>
    </w:pPr>
    <w:rPr>
      <w:rFonts w:ascii="Calibri" w:hAnsi="Calibri"/>
      <w:color w:val="000000"/>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Calibri" w:hAnsi="Calibri"/>
      <w:b/>
      <w:bCs/>
      <w:color w:val="000000"/>
      <w:sz w:val="32"/>
      <w:szCs w:val="28"/>
      <w:rFonts w:ascii="Calibri" w:hAnsi="Calibri"/>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000000"/>
      <w:sz w:val="24"/>
      <w:szCs w:val="26"/>
      <w:rFonts w:ascii="Calibri" w:hAnsi="Calibri"/>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Fonts w:ascii="Calibri" w:hAnsi="Calibr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b/>
      <w:color w:val="000000"/>
      <w:spacing w:val="5"/>
      <w:kern w:val="28"/>
      <w:sz w:val="50"/>
      <w:szCs w:val="52"/>
      <w:rFonts w:ascii="Calibri" w:hAnsi="Calibri"/>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Fonts w:ascii="Calibri" w:hAnsi="Calibri"/>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Principios y patrones del Sprint 2</dc:title>
  <dc:subject>Proyecto de Sistemas II Sprint 2</dc:subject>
  <dc:creator>Equipo Brotar</dc:creator>
  <cp:keywords>Brotar, Sprint 2, campañas, calidad, defensa técnica</cp:keywords>
  <dc:description>generated by python-docx</dc:description>
  <cp:lastModifiedBy/>
  <cp:revision>1</cp:revision>
  <dcterms:created xsi:type="dcterms:W3CDTF">2013-12-23T23:15:00Z</dcterms:created>
  <dcterms:modified xsi:type="dcterms:W3CDTF">2013-12-23T23:15:00Z</dcterms:modified>
  <cp:category/>
</cp:coreProperties>
</file>