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Pruebas de integración del Sprint 2</w:t>
      </w:r>
    </w:p>
    <w:p>
      <w:r>
        <w:rPr>
          <w:b/>
        </w:rPr>
        <w:t>Guía breve para explicar el código y demostrar sus resultados</w:t>
      </w:r>
    </w:p>
    <w:p>
      <w:r>
        <w:rPr>
          <w:b w:val="0"/>
        </w:rPr>
        <w:t>Proyecto de Sistemas II · Ricardo, Alison y Santiago</w:t>
        <w:br/>
        <w:t>DEV 1fcecd4 · 7 de octubre de 2026</w:t>
      </w:r>
    </w:p>
    <w:p>
      <w:r>
        <w:rPr>
          <w:b w:val="0"/>
        </w:rPr>
        <w:t>En la defensa debemos mostrar que los componentes se comunican correctamente y que los datos y permisos se conservan. Esta guía reúne un guion oral, una prueba para abrir y los comandos para repetir el ensayo local.</w:t>
      </w:r>
    </w:p>
    <w:p>
      <w:pPr>
        <w:pStyle w:val="Heading1"/>
      </w:pPr>
      <w:r>
        <w:t>1 Qué decir al comenzar</w:t>
      </w:r>
    </w:p>
    <w:p>
      <w:r>
        <w:rPr>
          <w:b w:val="0"/>
        </w:rPr>
        <w:t>“En Brotar usamos pruebas de integración para comprobar que varias partes funcionan juntas. La suite levanta una API NestJS temporal, envía solicitudes HTTP reales y utiliza TypeORM con PostgreSQL en Docker. Verificamos las respuestas y lo guardado en la base. En Sprint 2 probamos el recorrido desde el borrador hasta la revisión, la corrección y la publicación. También probamos entradas inválidas, accesos sin permiso y solicitudes simultáneas. Así detectamos problemas que una prueba aislada de una función no encontraría.”</w:t>
      </w:r>
    </w:p>
    <w:p>
      <w:pPr>
        <w:pStyle w:val="Heading1"/>
      </w:pPr>
      <w:r>
        <w:t>2 Cómo distinguir las pruebas</w:t>
      </w:r>
    </w:p>
    <w:p>
      <w:r>
        <w:rPr>
          <w:b w:val="0"/>
        </w:rPr>
        <w:t>Unitaria. Comprueba una regla aislada, por ejemplo que un importe negativo se rechaza. Puede reemplazar dependencias por dobles de prueba.</w:t>
      </w:r>
    </w:p>
    <w:p>
      <w:r>
        <w:rPr>
          <w:b w:val="0"/>
        </w:rPr>
        <w:t>Integración. Comprueba componentes reales trabajando juntos. Algunas pruebas ejercitan API y base; otras comprueban directamente TypeORM y PostgreSQL. No todas recorren las mismas capas.</w:t>
      </w:r>
    </w:p>
    <w:p>
      <w:r>
        <w:rPr>
          <w:b w:val="0"/>
        </w:rPr>
        <w:t>Prueba de interfaz de inicio a fin. Añade la interacción del usuario con el navegador. Nuestra suite PostgreSQL no automatiza todos los clics del frontend; el recorrido visual es una comprobación complementaria.</w:t>
      </w:r>
    </w:p>
    <w:p>
      <w:pPr>
        <w:pStyle w:val="Heading1"/>
      </w:pPr>
      <w:r>
        <w:t>3 Qué se conecta en la prueba de campañas</w:t>
      </w:r>
    </w:p>
    <w:p>
      <w:pPr>
        <w:spacing w:line="240" w:lineRule="auto"/>
      </w:pPr>
      <w:r>
        <w:rPr>
          <w:rFonts w:ascii="Consolas" w:hAnsi="Consolas"/>
          <w:b w:val="0"/>
          <w:sz w:val="18"/>
        </w:rPr>
        <w:t>Solicitud HTTP → controlador y validaciones → caso de uso</w:t>
        <w:br/>
        <w:t>→ repositorio TypeORM → PostgreSQL → respuesta comprobada</w:t>
      </w:r>
    </w:p>
    <w:p>
      <w:r>
        <w:rPr>
          <w:b w:val="0"/>
        </w:rPr>
        <w:t>Docker aloja PostgreSQL; no ejecuta las aserciones. El test crea su propia API en un puerto libre y conserva la cookie para actuar como creador o administrador. No necesita que dejemos el backend habitual iniciado.</w:t>
      </w:r>
    </w:p>
    <w:p>
      <w:r>
        <w:rPr>
          <w:b w:val="0"/>
        </w:rPr>
        <w:t>Términos para recordar: una aserción compara un resultado real con el esperado; un fixture es un dato preparado para el ensayo; un rollback revierte una transacción que falla.</w:t>
      </w:r>
    </w:p>
    <w:p>
      <w:pPr>
        <w:pStyle w:val="Heading1"/>
        <w:pageBreakBefore/>
      </w:pPr>
      <w:r>
        <w:t>4 Qué abrir y demostrar al docente</w:t>
      </w:r>
    </w:p>
    <w:p>
      <w:pPr>
        <w:spacing w:line="240" w:lineRule="auto"/>
      </w:pPr>
      <w:r>
        <w:rPr>
          <w:rFonts w:ascii="Consolas" w:hAnsi="Consolas"/>
          <w:b w:val="0"/>
          <w:sz w:val="18"/>
        </w:rPr>
        <w:t>backend/integration/campaign-sections-submission.integration.test.ts · línea 20</w:t>
      </w:r>
    </w:p>
    <w:p>
      <w:r>
        <w:rPr>
          <w:b w:val="0"/>
        </w:rPr>
        <w:t>En Visual Studio Code abrir este archivo. Buscar test, luego start, try y finally. Explicar la preparación, las acciones, las comprobaciones y la limpieza. No hace falta memorizar todas sus líneas.</w:t>
      </w:r>
    </w:p>
    <w:p>
      <w:pPr>
        <w:pStyle w:val="Heading2"/>
      </w:pPr>
      <w:r>
        <w:t>Recorrido principal</w:t>
      </w:r>
    </w:p>
    <w:p>
      <w:r>
        <w:rPr>
          <w:b w:val="0"/>
        </w:rPr>
        <w:t>1. La preparación registra cuentas ficticias, inicia sesión y asigna roles solo a los fixtures. Arranca AppModule real mediante NestFactory. Esto no concede roles a los compañeros ni resuelve la política definitiva de verificación.</w:t>
      </w:r>
    </w:p>
    <w:p>
      <w:r>
        <w:rPr>
          <w:b w:val="0"/>
        </w:rPr>
        <w:t>2. Se crea un borrador y se guardan plan, presupuesto, financiamiento, historia y portada. Se consulta de nuevo cada bloque y se compara con lo enviado. Una entrada inválida devuelve 400 y conserva el presupuesto anterior.</w:t>
      </w:r>
    </w:p>
    <w:p>
      <w:r>
        <w:rPr>
          <w:b w:val="0"/>
        </w:rPr>
        <w:t>3. Se intenta enviar una campaña incompleta: devuelve 422 y no crea una revisión. Después de completarla, el envío correcto devuelve 201 y el estado queda IN_REVIEW.</w:t>
      </w:r>
    </w:p>
    <w:p>
      <w:r>
        <w:rPr>
          <w:b w:val="0"/>
        </w:rPr>
        <w:t>4. ADMIN solicita cambios. El creador corrige y reenvía; se crea otra ronda y permanecen las observaciones históricas. Una decisión sobre una ronda antigua devuelve 409.</w:t>
      </w:r>
    </w:p>
    <w:p>
      <w:r>
        <w:rPr>
          <w:b w:val="0"/>
        </w:rPr>
        <w:t>5. ADMIN aprueba. El estado APPROVED sigue privado: la consulta pública devuelve 404. La publicación separada permite la consulta con 200. Reiniciar la API no pierde la publicación ni sus rondas.</w:t>
      </w:r>
    </w:p>
    <w:p>
      <w:pPr>
        <w:pStyle w:val="Heading2"/>
      </w:pPr>
      <w:r>
        <w:t>Ejemplo de dos solicitudes simultáneas</w:t>
      </w:r>
    </w:p>
    <w:p>
      <w:pPr>
        <w:spacing w:line="240" w:lineRule="auto"/>
      </w:pPr>
      <w:r>
        <w:rPr>
          <w:rFonts w:ascii="Consolas" w:hAnsi="Consolas"/>
          <w:b w:val="0"/>
          <w:sz w:val="18"/>
        </w:rPr>
        <w:t>const sent = await Promise.all([</w:t>
        <w:br/>
        <w:t xml:space="preserve">  call(`${path}/submission`, creator.cookie, {}),</w:t>
        <w:br/>
        <w:t xml:space="preserve">  call(`${path}/submission`, creator.cookie, {})</w:t>
        <w:br/>
        <w:t>])</w:t>
        <w:br/>
        <w:t>assert.deepEqual(sent.map(r =&gt; r.status).sort(), [201, 409])</w:t>
      </w:r>
    </w:p>
    <w:p>
      <w:r>
        <w:rPr>
          <w:b w:val="0"/>
        </w:rPr>
        <w:t>Qué decir: “Ambas peticiones intentan enviar la misma campaña. Solo una debe crear la revisión. La otra recibe conflicto. Además consultamos PostgreSQL y comprobamos que existe una sola revisión pendiente. Lo importante es que no haya duplicados, no solo que el botón se deshabilite.”</w:t>
      </w:r>
    </w:p>
    <w:p>
      <w:pPr>
        <w:pStyle w:val="Heading2"/>
      </w:pPr>
      <w:r>
        <w:t>Otras comprobaciones que puedes señalar</w:t>
      </w:r>
    </w:p>
    <w:p>
      <w:r>
        <w:rPr>
          <w:b w:val="0"/>
        </w:rPr>
        <w:t>Permisos. Sin sesión se espera 401; un usuario sin rol administrativo recibe 403. Para secciones privadas de otra persona se espera 404, sin exponer su contenido.</w:t>
      </w:r>
    </w:p>
    <w:p>
      <w:r>
        <w:rPr>
          <w:b w:val="0"/>
        </w:rPr>
        <w:t>Persistencia y rollback. database.integration.test.ts guarda usuario y perfil, reconecta y verifica los datos. Con DB_TEST_RESTART=true reinicia PostgreSQL. También fuerza un error en una transacción y comprueba que el registro revertido no existe.</w:t>
      </w:r>
    </w:p>
    <w:p>
      <w:pPr>
        <w:spacing w:line="240" w:lineRule="auto"/>
      </w:pPr>
      <w:r>
        <w:rPr>
          <w:rFonts w:ascii="Consolas" w:hAnsi="Consolas"/>
          <w:b w:val="0"/>
          <w:sz w:val="18"/>
        </w:rPr>
        <w:t>backend/integration/database.integration.test.ts · línea 15</w:t>
      </w:r>
    </w:p>
    <w:p>
      <w:pPr>
        <w:pStyle w:val="Heading1"/>
        <w:pageBreakBefore/>
      </w:pPr>
      <w:r>
        <w:t>5 Cómo repetir la suite en local</w:t>
      </w:r>
    </w:p>
    <w:p>
      <w:r>
        <w:rPr>
          <w:b w:val="0"/>
        </w:rPr>
        <w:t>Primero completar la instalación V2 y migraciones del README. Docker y PostgreSQL deben estar disponibles. Ejecutar desde la raíz del repositorio; la configuración debe apuntar al contenedor de esta copia, nunca a producción. La suite escribe datos ficticios y los elimina al terminar.</w:t>
      </w:r>
    </w:p>
    <w:p>
      <w:pPr>
        <w:spacing w:line="240" w:lineRule="auto"/>
      </w:pPr>
      <w:r>
        <w:rPr>
          <w:rFonts w:ascii="Consolas" w:hAnsi="Consolas"/>
          <w:b w:val="0"/>
          <w:sz w:val="18"/>
        </w:rPr>
        <w:t>cd .\backend</w:t>
        <w:br/>
        <w:t>pnpm run check</w:t>
        <w:br/>
        <w:t>$brotarPrevNodeEnv = $env:NODE_ENV</w:t>
        <w:br/>
        <w:t>$env:NODE_ENV = 'test'</w:t>
        <w:br/>
        <w:t>$env:ALLOW_DB_TEST_WRITES = 'true'</w:t>
        <w:br/>
        <w:t>$env:DB_TEST_RESTART = 'false'</w:t>
        <w:br/>
        <w:t>try {</w:t>
        <w:br/>
        <w:t xml:space="preserve">  node --env-file=../infra/postgres-v2/.env.backend `</w:t>
        <w:br/>
        <w:t xml:space="preserve">    --test --test-concurrency=1 dist-test/integration/*.test.js</w:t>
        <w:br/>
        <w:t>} finally {</w:t>
        <w:br/>
        <w:t xml:space="preserve">  Remove-Item Env:\ALLOW_DB_TEST_WRITES -ErrorAction SilentlyContinue</w:t>
        <w:br/>
        <w:t xml:space="preserve">  Remove-Item Env:\DB_TEST_RESTART -ErrorAction SilentlyContinue</w:t>
        <w:br/>
        <w:t xml:space="preserve">  $env:NODE_ENV = $brotarPrevNodeEnv</w:t>
        <w:br/>
        <w:t>}</w:t>
      </w:r>
    </w:p>
    <w:p>
      <w:r>
        <w:rPr>
          <w:b w:val="0"/>
        </w:rPr>
        <w:t>Para ensayar también el reinicio del contenedor, cambiar DB_TEST_RESTART a true antes de ejecutar. Interrumpe temporalmente la conexión a PostgreSQL y exige el proyecto V2 esperado; no hacerlo durante otra demostración. No borrar volúmenes ni restaurar SQL para repetir pruebas.</w:t>
      </w:r>
    </w:p>
    <w:p>
      <w:pPr>
        <w:pStyle w:val="Heading1"/>
      </w:pPr>
      <w:r>
        <w:t>6 Preguntas probables y respuesta breve</w:t>
      </w:r>
    </w:p>
    <w:p>
      <w:r>
        <w:rPr>
          <w:b w:val="0"/>
        </w:rPr>
        <w:t>¿Cómo comprueban que pasó? “Con aserciones de códigos HTTP, respuestas y registros en PostgreSQL. Si alguna condición no coincide, el test falla.”</w:t>
      </w:r>
    </w:p>
    <w:p>
      <w:r>
        <w:rPr>
          <w:b w:val="0"/>
        </w:rPr>
        <w:t>¿Cuántas pruebas hay? “El ensayo registrado del 5 de octubre aprobó 19 integraciones. Contienen muchas aserciones; no son 19 historias. Los 300 casos totales incluyen frontend, backend y regresiones.”</w:t>
      </w:r>
    </w:p>
    <w:p>
      <w:r>
        <w:rPr>
          <w:b w:val="0"/>
        </w:rPr>
        <w:t>¿Se usa una base simulada? “En esta suite usamos PostgreSQL real. Los datos son ficticios y temporales, pero las operaciones y respuestas son reales.”</w:t>
      </w:r>
    </w:p>
    <w:p>
      <w:r>
        <w:rPr>
          <w:b w:val="0"/>
        </w:rPr>
        <w:t>¿Qué pasa con los datos de prueba? “finally intenta limpiar los fixtures propios y cerrar la API. Una interrupción abrupta puede dejar restos; se revisan esos registros, no se vacían tablas completas.”</w:t>
      </w:r>
    </w:p>
    <w:p>
      <w:r>
        <w:rPr>
          <w:b w:val="0"/>
        </w:rPr>
        <w:t>¿Un test aprobado asegura que no hay bugs? “No. Demuestra los escenarios y condiciones comprobados; no garantiza todos los comportamientos posibles ni sustituye la revisión del usuario.”</w:t>
      </w:r>
    </w:p>
    <w:p>
      <w:r>
        <w:rPr>
          <w:b w:val="0"/>
        </w:rPr>
        <w:t>¿Por qué eso importa para Sprint 2? “El flujo cruza sesiones, roles, campañas, revisiones y persistencia. La integración comprueba que el resultado es coherente entre módulos, incluso ante errores y concurrencia.”</w:t>
      </w:r>
    </w:p>
    <w:p>
      <w:pPr>
        <w:pStyle w:val="Heading1"/>
      </w:pPr>
      <w:r>
        <w:t>7 Qué mostrar como evidencia</w:t>
      </w:r>
    </w:p>
    <w:p>
      <w:r>
        <w:rPr>
          <w:b w:val="0"/>
        </w:rPr>
        <w:t>Mostrar el archivo del test, una aserción y el resumen de la terminal con pass, fail y skipped. Distinguir el ensayo histórico del 5 de octubre de una ejecución nueva. Para preparar esta guía se revisó el código; no se volvió a ejecutar la suite.</w:t>
      </w:r>
    </w:p>
    <w:p>
      <w:r>
        <w:rPr>
          <w:b w:val="0"/>
        </w:rPr>
        <w:t>Referencias: README, secciones de integración y último ensayo; backend/integration/campaign-sections-submission.integration.test.ts; database.integration.test.ts; database-target.ts. Las líneas corresponden al corte DEV indicado.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BROTAR  |  Guía de estudio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defensa de pruebas de integración del Sprint 2</dc:title>
  <dc:subject>Proyecto de Sistemas II</dc:subject>
  <dc:creator>Equipo Brotar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