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BROTAR</w:t>
      </w:r>
    </w:p>
    <w:p>
      <w:pPr>
        <w:pStyle w:val="Title"/>
      </w:pPr>
      <w:r>
        <w:t>Principios y patrones de programación</w:t>
      </w:r>
    </w:p>
    <w:p>
      <w:pPr>
        <w:pStyle w:val="Subtitle"/>
      </w:pPr>
      <w:r>
        <w:rPr>
          <w:color w:val="515B62"/>
          <w:sz w:val="26"/>
        </w:rPr>
        <w:t>Guía técnica para la defensa del Sprint 1</w:t>
      </w:r>
    </w:p>
    <w:p>
      <w:r>
        <w:t>Proyecto de Sistemas II</w:t>
      </w:r>
    </w:p>
    <w:p>
      <w:r>
        <w:t>Equipo de trabajo: Ricardo, Alison y Santiago</w:t>
      </w:r>
    </w:p>
    <w:p>
      <w:r>
        <w:t>Corte documentado: rama DEV, commit 4bf4e07</w:t>
      </w:r>
    </w:p>
    <w:p>
      <w:r>
        <w:t>Fecha de preparación: 28 de septiembre de 2026</w:t>
      </w:r>
    </w:p>
    <w:p>
      <w:r>
        <w:t>Estado: cierre técnico del Sprint 1; decisiones del cliente identificadas como pendientes</w:t>
      </w:r>
    </w:p>
    <w:p>
      <w:r>
        <w:t>Fuentes: código y pruebas del repositorio, documentación interna y tablero Trello Crowudfunding</w:t>
      </w:r>
    </w:p>
    <w:p>
      <w:r>
        <w:t>Este informe distingue evidencia de funcionamiento, tareas cerradas técnicamente y aprobación externa. La ubicación de una tarjeta en Terminadas no sustituye la decisión del cliente ni la aceptación académica.</w:t>
      </w:r>
    </w:p>
    <w:p>
      <w:r>
        <w:br w:type="page"/>
      </w:r>
    </w:p>
    <w:p>
      <w:pPr>
        <w:pStyle w:val="Heading1"/>
      </w:pPr>
      <w:r>
        <w:t>Propósito y criterio de lectura</w:t>
      </w:r>
    </w:p>
    <w:p>
      <w:r>
        <w:t>Este documento sirve para explicar ante el docente qué decisiones de programación existen en Brotar, dónde se observan y por qué se eligieron. Se basa en el corte DEV 4bf4e07 y en la rúbrica compartida: puntualidad 15 %, calidad 20 %, SOLID 25 %, patrones de diseño 25 % y defensa técnica 15 %. Un nombre de patrón no vale por sí solo; cada ejemplo se relaciona con una necesidad, un archivo y una forma de demostrar el beneficio.</w:t>
      </w:r>
    </w:p>
    <w:p>
      <w:r>
        <w:t>TypeScript es el lenguaje; programación orientada a objetos, funcional y declarativa son formas de organizar código; KISS, DRY, YAGNI y SOLID son principios; Repository, Adapter y Strategy son patrones o variantes de patrón; Scrum es el marco de gestión. React o NestJS no prueban automáticamente que se haya aplicado uno de ellos.</w:t>
      </w:r>
    </w:p>
    <w:p>
      <w:pPr>
        <w:pStyle w:val="Heading1"/>
      </w:pPr>
      <w:r>
        <w:t>Mapa de la solución</w:t>
      </w:r>
    </w:p>
    <w:p>
      <w:r>
        <w:t>Una petición de registro viaja de React a un controlador NestJS, de allí al caso de uso RegisterUser y finalmente a un repositorio TypeORM que persiste en PostgreSQL. El caso de uso depende de contratos y no del servidor HTTP. En otros módulos, funciones de dominio representan reglas pequeñas, y componentes React representan la vista de forma declarativa. Esta mezcla es deliberada: la técnica se elige por la responsabilidad.</w:t>
      </w:r>
    </w:p>
    <w:tbl>
      <w:tblPr>
        <w:tblW w:type="auto" w:w="0"/>
        <w:jc w:val="center"/>
        <w:tblLayout w:type="fixed"/>
        <w:tblLook w:firstColumn="1" w:firstRow="1" w:lastColumn="0" w:lastRow="0" w:noHBand="0" w:noVBand="1" w:val="04A0"/>
      </w:tblPr>
      <w:tblGrid>
        <w:gridCol w:w="1728"/>
        <w:gridCol w:w="3744"/>
        <w:gridCol w:w="4320"/>
      </w:tblGrid>
      <w:tr>
        <w:trPr>
          <w:tblHeader/>
          <w:cantSplit/>
        </w:trPr>
        <w:tc>
          <w:tcPr>
            <w:tcW w:type="dxa" w:w="1728"/>
            <w:shd w:fill="16354C"/>
            <w:tcBorders>
              <w:top w:val="single" w:sz="4" w:color="16354C"/>
              <w:left w:val="single" w:sz="4" w:color="16354C"/>
              <w:bottom w:val="single" w:sz="4" w:color="16354C"/>
              <w:right w:val="single" w:sz="4" w:color="16354C"/>
            </w:tcBorders>
          </w:tcPr>
          <w:p>
            <w:r>
              <w:rPr>
                <w:b/>
                <w:color w:val="FFFFFF"/>
                <w:sz w:val="17"/>
              </w:rPr>
              <w:t>Nivel</w:t>
            </w:r>
          </w:p>
        </w:tc>
        <w:tc>
          <w:tcPr>
            <w:tcW w:type="dxa" w:w="3744"/>
            <w:shd w:fill="16354C"/>
            <w:tcBorders>
              <w:top w:val="single" w:sz="4" w:color="16354C"/>
              <w:left w:val="single" w:sz="4" w:color="16354C"/>
              <w:bottom w:val="single" w:sz="4" w:color="16354C"/>
              <w:right w:val="single" w:sz="4" w:color="16354C"/>
            </w:tcBorders>
          </w:tcPr>
          <w:p>
            <w:r>
              <w:rPr>
                <w:b/>
                <w:color w:val="FFFFFF"/>
                <w:sz w:val="17"/>
              </w:rPr>
              <w:t>Ejemplo</w:t>
            </w:r>
          </w:p>
        </w:tc>
        <w:tc>
          <w:tcPr>
            <w:tcW w:type="dxa" w:w="4320"/>
            <w:shd w:fill="16354C"/>
            <w:tcBorders>
              <w:top w:val="single" w:sz="4" w:color="16354C"/>
              <w:left w:val="single" w:sz="4" w:color="16354C"/>
              <w:bottom w:val="single" w:sz="4" w:color="16354C"/>
              <w:right w:val="single" w:sz="4" w:color="16354C"/>
            </w:tcBorders>
          </w:tcPr>
          <w:p>
            <w:r>
              <w:rPr>
                <w:b/>
                <w:color w:val="FFFFFF"/>
                <w:sz w:val="17"/>
              </w:rPr>
              <w:t>Responsabilidad</w:t>
            </w:r>
          </w:p>
        </w:tc>
      </w:tr>
      <w:tr>
        <w:trPr>
          <w:cantSplit/>
        </w:trPr>
        <w:tc>
          <w:tcPr>
            <w:tcW w:type="dxa" w:w="1728"/>
            <w:vAlign w:val="center"/>
            <w:tcBorders>
              <w:top w:val="single" w:sz="4" w:color="D8E0E4"/>
              <w:left w:val="single" w:sz="4" w:color="D8E0E4"/>
              <w:bottom w:val="single" w:sz="4" w:color="D8E0E4"/>
              <w:right w:val="single" w:sz="4" w:color="D8E0E4"/>
            </w:tcBorders>
          </w:tcPr>
          <w:p>
            <w:pPr>
              <w:spacing w:after="0" w:line="252" w:lineRule="auto"/>
            </w:pPr>
            <w:r>
              <w:rPr>
                <w:sz w:val="16"/>
              </w:rPr>
              <w:t>Presentación</w:t>
            </w:r>
          </w:p>
        </w:tc>
        <w:tc>
          <w:tcPr>
            <w:tcW w:type="dxa" w:w="3744"/>
            <w:vAlign w:val="center"/>
            <w:tcBorders>
              <w:top w:val="single" w:sz="4" w:color="D8E0E4"/>
              <w:left w:val="single" w:sz="4" w:color="D8E0E4"/>
              <w:bottom w:val="single" w:sz="4" w:color="D8E0E4"/>
              <w:right w:val="single" w:sz="4" w:color="D8E0E4"/>
            </w:tcBorders>
          </w:tcPr>
          <w:p>
            <w:pPr>
              <w:spacing w:after="0" w:line="252" w:lineRule="auto"/>
            </w:pPr>
            <w:r>
              <w:rPr>
                <w:sz w:val="16"/>
              </w:rPr>
              <w:t>CampaignBuilderPage, DraftReview</w:t>
            </w:r>
          </w:p>
        </w:tc>
        <w:tc>
          <w:tcPr>
            <w:tcW w:type="dxa" w:w="4320"/>
            <w:vAlign w:val="center"/>
            <w:tcBorders>
              <w:top w:val="single" w:sz="4" w:color="D8E0E4"/>
              <w:left w:val="single" w:sz="4" w:color="D8E0E4"/>
              <w:bottom w:val="single" w:sz="4" w:color="D8E0E4"/>
              <w:right w:val="single" w:sz="4" w:color="D8E0E4"/>
            </w:tcBorders>
          </w:tcPr>
          <w:p>
            <w:pPr>
              <w:spacing w:after="0" w:line="252" w:lineRule="auto"/>
            </w:pPr>
            <w:r>
              <w:rPr>
                <w:sz w:val="16"/>
              </w:rPr>
              <w:t>Entrada, estados y vista</w:t>
            </w:r>
          </w:p>
        </w:tc>
      </w:tr>
      <w:tr>
        <w:trPr>
          <w:cantSplit/>
        </w:trPr>
        <w:tc>
          <w:tcPr>
            <w:tcW w:type="dxa" w:w="1728"/>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Aplicación</w:t>
            </w:r>
          </w:p>
        </w:tc>
        <w:tc>
          <w:tcPr>
            <w:tcW w:type="dxa" w:w="3744"/>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RegisterUser, CampaignCoverDrafts</w:t>
            </w:r>
          </w:p>
        </w:tc>
        <w:tc>
          <w:tcPr>
            <w:tcW w:type="dxa" w:w="4320"/>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Coordinar casos de uso</w:t>
            </w:r>
          </w:p>
        </w:tc>
      </w:tr>
      <w:tr>
        <w:trPr>
          <w:cantSplit/>
        </w:trPr>
        <w:tc>
          <w:tcPr>
            <w:tcW w:type="dxa" w:w="1728"/>
            <w:vAlign w:val="center"/>
            <w:tcBorders>
              <w:top w:val="single" w:sz="4" w:color="D8E0E4"/>
              <w:left w:val="single" w:sz="4" w:color="D8E0E4"/>
              <w:bottom w:val="single" w:sz="4" w:color="D8E0E4"/>
              <w:right w:val="single" w:sz="4" w:color="D8E0E4"/>
            </w:tcBorders>
          </w:tcPr>
          <w:p>
            <w:pPr>
              <w:spacing w:after="0" w:line="252" w:lineRule="auto"/>
            </w:pPr>
            <w:r>
              <w:rPr>
                <w:sz w:val="16"/>
              </w:rPr>
              <w:t>Dominio</w:t>
            </w:r>
          </w:p>
        </w:tc>
        <w:tc>
          <w:tcPr>
            <w:tcW w:type="dxa" w:w="3744"/>
            <w:vAlign w:val="center"/>
            <w:tcBorders>
              <w:top w:val="single" w:sz="4" w:color="D8E0E4"/>
              <w:left w:val="single" w:sz="4" w:color="D8E0E4"/>
              <w:bottom w:val="single" w:sz="4" w:color="D8E0E4"/>
              <w:right w:val="single" w:sz="4" w:color="D8E0E4"/>
            </w:tcBorders>
          </w:tcPr>
          <w:p>
            <w:pPr>
              <w:spacing w:after="0" w:line="252" w:lineRule="auto"/>
            </w:pPr>
            <w:r>
              <w:rPr>
                <w:sz w:val="16"/>
              </w:rPr>
              <w:t>allowsStepMove, newUser</w:t>
            </w:r>
          </w:p>
        </w:tc>
        <w:tc>
          <w:tcPr>
            <w:tcW w:type="dxa" w:w="4320"/>
            <w:vAlign w:val="center"/>
            <w:tcBorders>
              <w:top w:val="single" w:sz="4" w:color="D8E0E4"/>
              <w:left w:val="single" w:sz="4" w:color="D8E0E4"/>
              <w:bottom w:val="single" w:sz="4" w:color="D8E0E4"/>
              <w:right w:val="single" w:sz="4" w:color="D8E0E4"/>
            </w:tcBorders>
          </w:tcPr>
          <w:p>
            <w:pPr>
              <w:spacing w:after="0" w:line="252" w:lineRule="auto"/>
            </w:pPr>
            <w:r>
              <w:rPr>
                <w:sz w:val="16"/>
              </w:rPr>
              <w:t>Reglas y datos de negocio</w:t>
            </w:r>
          </w:p>
        </w:tc>
      </w:tr>
      <w:tr>
        <w:trPr>
          <w:cantSplit/>
        </w:trPr>
        <w:tc>
          <w:tcPr>
            <w:tcW w:type="dxa" w:w="1728"/>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Infraestructura</w:t>
            </w:r>
          </w:p>
        </w:tc>
        <w:tc>
          <w:tcPr>
            <w:tcW w:type="dxa" w:w="3744"/>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TypeormRegistrationRepository, SmtpRecoveryDelivery</w:t>
            </w:r>
          </w:p>
        </w:tc>
        <w:tc>
          <w:tcPr>
            <w:tcW w:type="dxa" w:w="4320"/>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Conexión a SQL o servicio externo</w:t>
            </w:r>
          </w:p>
        </w:tc>
      </w:tr>
    </w:tbl>
    <w:p>
      <w:pPr>
        <w:spacing w:after="0"/>
      </w:pPr>
    </w:p>
    <w:p>
      <w:pPr>
        <w:pStyle w:val="Heading1"/>
      </w:pPr>
      <w:r>
        <w:t>Principios de simplicidad y no duplicación</w:t>
      </w:r>
    </w:p>
    <w:p>
      <w:pPr>
        <w:pStyle w:val="Heading2"/>
      </w:pPr>
      <w:r>
        <w:t>KISS  Keep It Simple, Stupid</w:t>
      </w:r>
    </w:p>
    <w:p>
      <w:r>
        <w:rPr>
          <w:b/>
        </w:rPr>
        <w:t>Qué significa:</w:t>
      </w:r>
      <w:r>
        <w:t xml:space="preserve"> Elegir la solución menos compleja que cumple el requisito sin sacrificar controles necesarios.</w:t>
      </w:r>
    </w:p>
    <w:p>
      <w:r>
        <w:rPr>
          <w:b/>
        </w:rPr>
        <w:t>Dónde se aplica:</w:t>
      </w:r>
      <w:r>
        <w:t xml:space="preserve"> En backend/src/files/application/files.ts, matchesSignature usa condiciones explícitas por tipo de archivo, en vez de una expresión anidada difícil de seguir. En backend/src/campaigns/domain/draft.ts, allowsStepMove resuelve la navegación del asistente como regla pequeña: cuando la modalidad es donación, se omite recompensas. En src/features/campaigns/DraftReview.tsx, la vista recibe datos y los muestra sin consultar la base.</w:t>
      </w:r>
    </w:p>
    <w:p>
      <w:r>
        <w:rPr>
          <w:b/>
        </w:rPr>
        <w:t>Por qué y cuál es el límite:</w:t>
      </w:r>
      <w:r>
        <w:t xml:space="preserve"> La simplicidad reduce rutas de error y facilita pruebas aisladas. No se añadió un motor de estados ni una jerarquía de clases para formatos de archivo que el sprint no necesitaba. El constructor principal conserva coordinación compleja; KISS no permite afirmar que todo el código sea trivial.</w:t>
      </w:r>
    </w:p>
    <w:p>
      <w:r>
        <w:rPr>
          <w:b/>
        </w:rPr>
        <w:t>Cómo defenderlo:</w:t>
      </w:r>
      <w:r>
        <w:t xml:space="preserve"> Abrir matchesSignature y allowsStepMove, describir entrada y salida, y ejecutar pruebas de archivos y modalidad.</w:t>
      </w:r>
    </w:p>
    <w:p>
      <w:pPr>
        <w:pStyle w:val="Heading2"/>
      </w:pPr>
      <w:r>
        <w:t>DRY  Don't Repeat Yourself</w:t>
      </w:r>
    </w:p>
    <w:p>
      <w:r>
        <w:rPr>
          <w:b/>
        </w:rPr>
        <w:t>Qué significa:</w:t>
      </w:r>
      <w:r>
        <w:t xml:space="preserve"> Mantener una única fuente para una decisión compartida y evitar copias que puedan divergir.</w:t>
      </w:r>
    </w:p>
    <w:p>
      <w:r>
        <w:rPr>
          <w:b/>
        </w:rPr>
        <w:t>Dónde se aplica:</w:t>
      </w:r>
      <w:r>
        <w:t xml:space="preserve"> src/shared/api/request.ts centraliza requestApi y readJson: credenciales same-origin, plazo de espera, encabezado de mutación y respuesta JSON. Los clientes de sesión, campañas, archivos y portadas reutilizan el transporte, pero conservan sus propios validadores de contrato. El límite de portada reutiliza FILE_LIMITS.</w:t>
      </w:r>
    </w:p>
    <w:p>
      <w:r>
        <w:rPr>
          <w:b/>
        </w:rPr>
        <w:t>Por qué y cuál es el límite:</w:t>
      </w:r>
      <w:r>
        <w:t xml:space="preserve"> Si cambia el manejo HTTP, se cambia en un solo lugar. El cliente de portada puede aceptar el cuerpo vacío previsto sin ocultar un JSON defectuoso. No se elimina la validación en servidor solo para evitar repetirla en navegador: ambas existen por razones diferentes.</w:t>
      </w:r>
    </w:p>
    <w:p>
      <w:r>
        <w:rPr>
          <w:b/>
        </w:rPr>
        <w:t>Cómo defenderlo:</w:t>
      </w:r>
      <w:r>
        <w:t xml:space="preserve"> Mostrar dos clientes que llaman requestApi; provocar un fallo HTTP y una respuesta vacía de portada. Prueba: tests/api-request.test.ts.</w:t>
      </w:r>
    </w:p>
    <w:p>
      <w:pPr>
        <w:pStyle w:val="Heading2"/>
      </w:pPr>
      <w:r>
        <w:t>YAGNI  You Aren't Gonna Need It</w:t>
      </w:r>
    </w:p>
    <w:p>
      <w:r>
        <w:rPr>
          <w:b/>
        </w:rPr>
        <w:t>Qué significa:</w:t>
      </w:r>
      <w:r>
        <w:t xml:space="preserve"> No desarrollar capacidades hipotéticas antes de tener una necesidad acordada y comprobable.</w:t>
      </w:r>
    </w:p>
    <w:p>
      <w:r>
        <w:rPr>
          <w:b/>
        </w:rPr>
        <w:t>Dónde se aplica:</w:t>
      </w:r>
      <w:r>
        <w:t xml:space="preserve"> El Sprint 1 guarda borradores, pero no inventa pagos o publicación. Plan y presupuesto, financiación, recompensas completas y desembolsos permanecen fuera de alcance. Se retiró el adaptador inactivo LocalFileStorage; el módulo actual usa TypeormFileStorage para metadatos y almacenamiento privado local para binarios.</w:t>
      </w:r>
    </w:p>
    <w:p>
      <w:r>
        <w:rPr>
          <w:b/>
        </w:rPr>
        <w:t>Por qué y cuál es el límite:</w:t>
      </w:r>
      <w:r>
        <w:t xml:space="preserve"> Disminuye mantenimiento y falsas expectativas. La presencia de tablas futuras en la base compartida no significa que esos módulos estén implementados. YAGNI nunca justifica omitir seguridad, pruebas o requisitos ya aprobados.</w:t>
      </w:r>
    </w:p>
    <w:p>
      <w:r>
        <w:rPr>
          <w:b/>
        </w:rPr>
        <w:t>Cómo defenderlo:</w:t>
      </w:r>
      <w:r>
        <w:t xml:space="preserve"> Mostrar la vista de revisión sin botón de publicación real y el módulo backend/src/files/files.module.ts. Explicar lo que deliberadamente no se construyó.</w:t>
      </w:r>
    </w:p>
    <w:p>
      <w:pPr>
        <w:pStyle w:val="Heading1"/>
      </w:pPr>
      <w:r>
        <w:t>Principios SOLID</w:t>
      </w:r>
    </w:p>
    <w:p>
      <w:pPr>
        <w:pStyle w:val="Heading2"/>
      </w:pPr>
      <w:r>
        <w:t>SRP  Responsabilidad única</w:t>
      </w:r>
    </w:p>
    <w:p>
      <w:r>
        <w:rPr>
          <w:b/>
        </w:rPr>
        <w:t>Qué significa:</w:t>
      </w:r>
      <w:r>
        <w:t xml:space="preserve"> Agrupar una responsabilidad por razón de cambio, no necesariamente un método por clase.</w:t>
      </w:r>
    </w:p>
    <w:p>
      <w:r>
        <w:rPr>
          <w:b/>
        </w:rPr>
        <w:t>Dónde se aplica:</w:t>
      </w:r>
      <w:r>
        <w:t xml:space="preserve"> RegisterUser en backend/src/users/application/register-user.ts coordina el alta; ScryptPasswordHasher deriva contraseñas; TypeormRegistrationRepository conoce SQL y transacciones; RegistrationController adapta HTTP. En frontend, DraftReview presenta datos y CampaignBuilderPage coordina el flujo.</w:t>
      </w:r>
    </w:p>
    <w:p>
      <w:r>
        <w:rPr>
          <w:b/>
        </w:rPr>
        <w:t>Por qué y cuál es el límite:</w:t>
      </w:r>
      <w:r>
        <w:t xml:space="preserve"> Un cambio del esquema se localiza en el adaptador de persistencia; un cambio de presentación se localiza en la vista. La separación hace pruebas más pequeñas y evita que el caso de uso mezcle NestJS, SQL y texto de pantalla.</w:t>
      </w:r>
    </w:p>
    <w:p>
      <w:r>
        <w:rPr>
          <w:b/>
        </w:rPr>
        <w:t>Cómo defenderlo:</w:t>
      </w:r>
      <w:r>
        <w:t xml:space="preserve"> Recorrer una solicitud de registro desde controlador hasta repositorio; indicar qué archivo cambiaría si se modifica solo la base.</w:t>
      </w:r>
    </w:p>
    <w:p>
      <w:pPr>
        <w:pStyle w:val="Heading2"/>
      </w:pPr>
      <w:r>
        <w:t>OCP  Abierto a extensión y cerrado a modificación</w:t>
      </w:r>
    </w:p>
    <w:p>
      <w:r>
        <w:rPr>
          <w:b/>
        </w:rPr>
        <w:t>Qué significa:</w:t>
      </w:r>
      <w:r>
        <w:t xml:space="preserve"> Definir un punto de variación para añadir comportamiento compatible sin reescribir el núcleo estable.</w:t>
      </w:r>
    </w:p>
    <w:p>
      <w:r>
        <w:rPr>
          <w:b/>
        </w:rPr>
        <w:t>Dónde se aplica:</w:t>
      </w:r>
      <w:r>
        <w:t xml:space="preserve"> PasswordRecovery depende de RecoveryDelivery; LocalRecoveryDelivery y SmtpRecoveryDelivery son adaptadores de entrega ensamblados por el módulo. requestApi recibe errorFromResponse para que campañas interprete errores por campo sin introducir condiciones específicas en el transporte común.</w:t>
      </w:r>
    </w:p>
    <w:p>
      <w:r>
        <w:rPr>
          <w:b/>
        </w:rPr>
        <w:t>Por qué y cuál es el límite:</w:t>
      </w:r>
      <w:r>
        <w:t xml:space="preserve"> Una nueva implementación de entrega o interpretación de errores se conecta por contrato. Esto no significa que SMTP esté autorizado o probado en producción; el entorno actual utiliza archivo local. Toda extensión requiere pruebas.</w:t>
      </w:r>
    </w:p>
    <w:p>
      <w:r>
        <w:rPr>
          <w:b/>
        </w:rPr>
        <w:t>Cómo defenderlo:</w:t>
      </w:r>
      <w:r>
        <w:t xml:space="preserve"> Abrir backend/src/auth/application/password-recovery.ts y backend/src/auth/auth.module.ts; luego src/shared/api/request.ts y campaignsClient.ts.</w:t>
      </w:r>
    </w:p>
    <w:p>
      <w:pPr>
        <w:pStyle w:val="Heading2"/>
      </w:pPr>
      <w:r>
        <w:t>LSP  Sustitución de Liskov</w:t>
      </w:r>
    </w:p>
    <w:p>
      <w:r>
        <w:rPr>
          <w:b/>
        </w:rPr>
        <w:t>Qué significa:</w:t>
      </w:r>
      <w:r>
        <w:t xml:space="preserve"> Un subtipo o implementación debe respetar el comportamiento que promete su contrato, no solo compilar.</w:t>
      </w:r>
    </w:p>
    <w:p>
      <w:r>
        <w:rPr>
          <w:b/>
        </w:rPr>
        <w:t>Dónde se aplica:</w:t>
      </w:r>
      <w:r>
        <w:t xml:space="preserve"> DraftFieldError extiende SessionError en el cliente de campañas y conserva el estado HTTP, añadiendo errores de campo. CampaignCoverDrafts recibe AuthorizedFileReader; en ejecución lo implementa Files y en pruebas un doble con privateDownload. Ambos deben devolver o fallar según el mismo contrato.</w:t>
      </w:r>
    </w:p>
    <w:p>
      <w:r>
        <w:rPr>
          <w:b/>
        </w:rPr>
        <w:t>Por qué y cuál es el límite:</w:t>
      </w:r>
      <w:r>
        <w:t xml:space="preserve"> El consumidor general sigue pudiendo tratar un DraftFieldError como SessionError. El caso de portada no requiere un cast inseguro del doble de prueba. Las pruebas cubren escenarios explícitos; no demuestran LSP matemáticamente para todo el sistema.</w:t>
      </w:r>
    </w:p>
    <w:p>
      <w:r>
        <w:rPr>
          <w:b/>
        </w:rPr>
        <w:t>Cómo defenderlo:</w:t>
      </w:r>
      <w:r>
        <w:t xml:space="preserve"> Abrir tests/api-request.test.ts y backend/test/cover-draft.test.ts. Explicar qué se rompería si el doble devolviera una lista vacía ante un fallo real.</w:t>
      </w:r>
    </w:p>
    <w:p>
      <w:pPr>
        <w:pStyle w:val="Heading2"/>
      </w:pPr>
      <w:r>
        <w:t>ISP  Segregación de interfaces</w:t>
      </w:r>
    </w:p>
    <w:p>
      <w:r>
        <w:rPr>
          <w:b/>
        </w:rPr>
        <w:t>Qué significa:</w:t>
      </w:r>
      <w:r>
        <w:t xml:space="preserve"> Cada consumidor debe depender solo de las operaciones que necesita.</w:t>
      </w:r>
    </w:p>
    <w:p>
      <w:r>
        <w:rPr>
          <w:b/>
        </w:rPr>
        <w:t>Dónde se aplica:</w:t>
      </w:r>
      <w:r>
        <w:t xml:space="preserve"> AuthorizedFileReader en backend/src/files/application/files.ts declara únicamente privateDownload. CampaignCoverDrafts lo utiliza para asociar una portada, sin depender de la interfaz completa de carga, eliminación y descarga pública de Files. PasswordHasher del registro solo exige hash.</w:t>
      </w:r>
    </w:p>
    <w:p>
      <w:r>
        <w:rPr>
          <w:b/>
        </w:rPr>
        <w:t>Por qué y cuál es el límite:</w:t>
      </w:r>
      <w:r>
        <w:t xml:space="preserve"> El contrato estrecho evita acoplamiento innecesario y permite dobles de prueba concisos. No se dividen interfaces mecánicamente cuando eso vuelve el código menos legible.</w:t>
      </w:r>
    </w:p>
    <w:p>
      <w:r>
        <w:rPr>
          <w:b/>
        </w:rPr>
        <w:t>Cómo defenderlo:</w:t>
      </w:r>
      <w:r>
        <w:t xml:space="preserve"> Mostrar el constructor de backend/src/campaign-drafts/application/cover-draft.ts y el doble tipado de backend/test/cover-draft.test.ts.</w:t>
      </w:r>
    </w:p>
    <w:p>
      <w:pPr>
        <w:pStyle w:val="Heading2"/>
      </w:pPr>
      <w:r>
        <w:t>DIP  Inversión de dependencias</w:t>
      </w:r>
    </w:p>
    <w:p>
      <w:r>
        <w:rPr>
          <w:b/>
        </w:rPr>
        <w:t>Qué significa:</w:t>
      </w:r>
      <w:r>
        <w:t xml:space="preserve"> Los casos de uso deben depender de contratos propios; los detalles técnicos implementan esos contratos.</w:t>
      </w:r>
    </w:p>
    <w:p>
      <w:r>
        <w:rPr>
          <w:b/>
        </w:rPr>
        <w:t>Dónde se aplica:</w:t>
      </w:r>
      <w:r>
        <w:t xml:space="preserve"> RegisterUser recibe UserRegistrationRepository y PasswordHasher; las implementaciones TypeORM y scrypt se enlazan en UsersModule. CampaignCoverDrafts recibe CoverDraftRepository y AuthorizedFileReader; las implementaciones concretas se unen en CampaignDraftsModule.</w:t>
      </w:r>
    </w:p>
    <w:p>
      <w:r>
        <w:rPr>
          <w:b/>
        </w:rPr>
        <w:t>Por qué y cuál es el límite:</w:t>
      </w:r>
      <w:r>
        <w:t xml:space="preserve"> Se prueba el negocio sin iniciar PostgreSQL y se localizan las dependencias del framework. Cambiar de motor aún exigiría revisar consultas, restricciones y migraciones; DIP reduce acoplamiento, no elimina el trabajo de migración.</w:t>
      </w:r>
    </w:p>
    <w:p>
      <w:r>
        <w:rPr>
          <w:b/>
        </w:rPr>
        <w:t>Cómo defenderlo:</w:t>
      </w:r>
      <w:r>
        <w:t xml:space="preserve"> Abrir backend/src/users/users.module.ts y backend/src/campaign-drafts/campaign-drafts.module.ts; mostrar backend/test/architecture.test.ts.</w:t>
      </w:r>
    </w:p>
    <w:p>
      <w:pPr>
        <w:pStyle w:val="Heading1"/>
      </w:pPr>
      <w:r>
        <w:t>Inversión de control e inyección de dependencias</w:t>
      </w:r>
    </w:p>
    <w:p>
      <w:r>
        <w:t>IoC indica que la construcción y coordinación de componentes se entrega a un mecanismo externo. En Brotar, NestJS registra proveedores en UsersModule y CampaignDraftsModule; useFactory selecciona implementaciones e inject aporta dependencias. El controlador recibe el caso de uso en vez de construir un repositorio SQL en cada petición. DIP determina la dirección hacia contratos; la inyección es una técnica concreta, no un sinónimo del principio.</w:t>
      </w:r>
    </w:p>
    <w:p>
      <w:pPr>
        <w:pStyle w:val="Evidence"/>
      </w:pPr>
      <w:r>
        <w:t>backend/src/users/users.module.ts  |  backend/src/campaign-drafts/campaign-drafts.module.ts</w:t>
      </w:r>
    </w:p>
    <w:p>
      <w:pPr>
        <w:pStyle w:val="Heading1"/>
      </w:pPr>
      <w:r>
        <w:t>Composición y mejora incremental</w:t>
      </w:r>
    </w:p>
    <w:p>
      <w:r>
        <w:t>RegisterUser se compone de un repositorio y un generador de hash; CampaignCoverDrafts se compone de repositorio y lector autorizado; CampaignBuilderPage compone editores y revisión. Se evita heredar solo para reutilizar. La herencia sí tiene sentido cuando DraftFieldError especializa SessionError.</w:t>
      </w:r>
    </w:p>
    <w:p>
      <w:r>
        <w:t>La regla del Boy Scout se aplicó dejando mejor los módulos intervenidos: transporte HTTP compartido, comprobación de firma más legible, contrato de lectura de archivos reducido, vista de revisión extraída y regresiones de portada. Fue una refactorización acotada, no una reescritura ni un cambio cosmético del esquema. La mejora no autoriza atribuir a esta intervención toda la arquitectura previa.</w:t>
      </w:r>
    </w:p>
    <w:p>
      <w:pPr>
        <w:pStyle w:val="Heading1"/>
      </w:pPr>
      <w:r>
        <w:t>Patrones utilizados</w:t>
      </w:r>
    </w:p>
    <w:tbl>
      <w:tblPr>
        <w:tblW w:type="auto" w:w="0"/>
        <w:jc w:val="center"/>
        <w:tblLayout w:type="fixed"/>
        <w:tblLook w:firstColumn="1" w:firstRow="1" w:lastColumn="0" w:lastRow="0" w:noHBand="0" w:noVBand="1" w:val="04A0"/>
      </w:tblPr>
      <w:tblGrid>
        <w:gridCol w:w="1440"/>
        <w:gridCol w:w="2664"/>
        <w:gridCol w:w="2952"/>
        <w:gridCol w:w="2736"/>
      </w:tblGrid>
      <w:tr>
        <w:trPr>
          <w:tblHeader/>
          <w:cantSplit/>
        </w:trPr>
        <w:tc>
          <w:tcPr>
            <w:tcW w:type="dxa" w:w="1440"/>
            <w:shd w:fill="16354C"/>
            <w:tcBorders>
              <w:top w:val="single" w:sz="4" w:color="16354C"/>
              <w:left w:val="single" w:sz="4" w:color="16354C"/>
              <w:bottom w:val="single" w:sz="4" w:color="16354C"/>
              <w:right w:val="single" w:sz="4" w:color="16354C"/>
            </w:tcBorders>
          </w:tcPr>
          <w:p>
            <w:r>
              <w:rPr>
                <w:b/>
                <w:color w:val="FFFFFF"/>
                <w:sz w:val="17"/>
              </w:rPr>
              <w:t>Patrón</w:t>
            </w:r>
          </w:p>
        </w:tc>
        <w:tc>
          <w:tcPr>
            <w:tcW w:type="dxa" w:w="2664"/>
            <w:shd w:fill="16354C"/>
            <w:tcBorders>
              <w:top w:val="single" w:sz="4" w:color="16354C"/>
              <w:left w:val="single" w:sz="4" w:color="16354C"/>
              <w:bottom w:val="single" w:sz="4" w:color="16354C"/>
              <w:right w:val="single" w:sz="4" w:color="16354C"/>
            </w:tcBorders>
          </w:tcPr>
          <w:p>
            <w:r>
              <w:rPr>
                <w:b/>
                <w:color w:val="FFFFFF"/>
                <w:sz w:val="17"/>
              </w:rPr>
              <w:t>Problema que resuelve</w:t>
            </w:r>
          </w:p>
        </w:tc>
        <w:tc>
          <w:tcPr>
            <w:tcW w:type="dxa" w:w="2952"/>
            <w:shd w:fill="16354C"/>
            <w:tcBorders>
              <w:top w:val="single" w:sz="4" w:color="16354C"/>
              <w:left w:val="single" w:sz="4" w:color="16354C"/>
              <w:bottom w:val="single" w:sz="4" w:color="16354C"/>
              <w:right w:val="single" w:sz="4" w:color="16354C"/>
            </w:tcBorders>
          </w:tcPr>
          <w:p>
            <w:r>
              <w:rPr>
                <w:b/>
                <w:color w:val="FFFFFF"/>
                <w:sz w:val="17"/>
              </w:rPr>
              <w:t>Ejemplo verificable</w:t>
            </w:r>
          </w:p>
        </w:tc>
        <w:tc>
          <w:tcPr>
            <w:tcW w:type="dxa" w:w="2736"/>
            <w:shd w:fill="16354C"/>
            <w:tcBorders>
              <w:top w:val="single" w:sz="4" w:color="16354C"/>
              <w:left w:val="single" w:sz="4" w:color="16354C"/>
              <w:bottom w:val="single" w:sz="4" w:color="16354C"/>
              <w:right w:val="single" w:sz="4" w:color="16354C"/>
            </w:tcBorders>
          </w:tcPr>
          <w:p>
            <w:r>
              <w:rPr>
                <w:b/>
                <w:color w:val="FFFFFF"/>
                <w:sz w:val="17"/>
              </w:rPr>
              <w:t>Matiz para la defensa</w:t>
            </w:r>
          </w:p>
        </w:tc>
      </w:tr>
      <w:tr>
        <w:trPr>
          <w:cantSplit/>
        </w:trPr>
        <w:tc>
          <w:tcPr>
            <w:tcW w:type="dxa" w:w="1440"/>
            <w:vAlign w:val="center"/>
            <w:tcBorders>
              <w:top w:val="single" w:sz="4" w:color="D8E0E4"/>
              <w:left w:val="single" w:sz="4" w:color="D8E0E4"/>
              <w:bottom w:val="single" w:sz="4" w:color="D8E0E4"/>
              <w:right w:val="single" w:sz="4" w:color="D8E0E4"/>
            </w:tcBorders>
          </w:tcPr>
          <w:p>
            <w:pPr>
              <w:spacing w:after="0" w:line="252" w:lineRule="auto"/>
            </w:pPr>
            <w:r>
              <w:rPr>
                <w:sz w:val="16"/>
              </w:rPr>
              <w:t>Repository</w:t>
            </w:r>
          </w:p>
        </w:tc>
        <w:tc>
          <w:tcPr>
            <w:tcW w:type="dxa" w:w="2664"/>
            <w:vAlign w:val="center"/>
            <w:tcBorders>
              <w:top w:val="single" w:sz="4" w:color="D8E0E4"/>
              <w:left w:val="single" w:sz="4" w:color="D8E0E4"/>
              <w:bottom w:val="single" w:sz="4" w:color="D8E0E4"/>
              <w:right w:val="single" w:sz="4" w:color="D8E0E4"/>
            </w:tcBorders>
          </w:tcPr>
          <w:p>
            <w:pPr>
              <w:spacing w:after="0" w:line="252" w:lineRule="auto"/>
            </w:pPr>
            <w:r>
              <w:rPr>
                <w:sz w:val="16"/>
              </w:rPr>
              <w:t>Aislar operaciones de persistencia del caso de uso</w:t>
            </w:r>
          </w:p>
        </w:tc>
        <w:tc>
          <w:tcPr>
            <w:tcW w:type="dxa" w:w="2952"/>
            <w:vAlign w:val="center"/>
            <w:tcBorders>
              <w:top w:val="single" w:sz="4" w:color="D8E0E4"/>
              <w:left w:val="single" w:sz="4" w:color="D8E0E4"/>
              <w:bottom w:val="single" w:sz="4" w:color="D8E0E4"/>
              <w:right w:val="single" w:sz="4" w:color="D8E0E4"/>
            </w:tcBorders>
          </w:tcPr>
          <w:p>
            <w:pPr>
              <w:spacing w:after="0" w:line="252" w:lineRule="auto"/>
            </w:pPr>
            <w:r>
              <w:rPr>
                <w:sz w:val="16"/>
              </w:rPr>
              <w:t>UserRegistrationRepository y CoverDraftRepository; adaptadores TypeORM</w:t>
            </w:r>
          </w:p>
        </w:tc>
        <w:tc>
          <w:tcPr>
            <w:tcW w:type="dxa" w:w="2736"/>
            <w:vAlign w:val="center"/>
            <w:tcBorders>
              <w:top w:val="single" w:sz="4" w:color="D8E0E4"/>
              <w:left w:val="single" w:sz="4" w:color="D8E0E4"/>
              <w:bottom w:val="single" w:sz="4" w:color="D8E0E4"/>
              <w:right w:val="single" w:sz="4" w:color="D8E0E4"/>
            </w:tcBorders>
          </w:tcPr>
          <w:p>
            <w:pPr>
              <w:spacing w:after="0" w:line="252" w:lineRule="auto"/>
            </w:pPr>
            <w:r>
              <w:rPr>
                <w:sz w:val="16"/>
              </w:rPr>
              <w:t>No convierte automáticamente PostgreSQL en otro motor</w:t>
            </w:r>
          </w:p>
        </w:tc>
      </w:tr>
      <w:tr>
        <w:trPr>
          <w:cantSplit/>
        </w:trPr>
        <w:tc>
          <w:tcPr>
            <w:tcW w:type="dxa" w:w="1440"/>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Adapter</w:t>
            </w:r>
          </w:p>
        </w:tc>
        <w:tc>
          <w:tcPr>
            <w:tcW w:type="dxa" w:w="2664"/>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Traducir un contrato de aplicación a una tecnología</w:t>
            </w:r>
          </w:p>
        </w:tc>
        <w:tc>
          <w:tcPr>
            <w:tcW w:type="dxa" w:w="2952"/>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SmtpRecoveryDelivery y TypeormCoverDraftRepository</w:t>
            </w:r>
          </w:p>
        </w:tc>
        <w:tc>
          <w:tcPr>
            <w:tcW w:type="dxa" w:w="2736"/>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SMTP existe como adaptador, pero el envío real no está habilitado</w:t>
            </w:r>
          </w:p>
        </w:tc>
      </w:tr>
      <w:tr>
        <w:trPr>
          <w:cantSplit/>
        </w:trPr>
        <w:tc>
          <w:tcPr>
            <w:tcW w:type="dxa" w:w="1440"/>
            <w:vAlign w:val="center"/>
            <w:tcBorders>
              <w:top w:val="single" w:sz="4" w:color="D8E0E4"/>
              <w:left w:val="single" w:sz="4" w:color="D8E0E4"/>
              <w:bottom w:val="single" w:sz="4" w:color="D8E0E4"/>
              <w:right w:val="single" w:sz="4" w:color="D8E0E4"/>
            </w:tcBorders>
          </w:tcPr>
          <w:p>
            <w:pPr>
              <w:spacing w:after="0" w:line="252" w:lineRule="auto"/>
            </w:pPr>
            <w:r>
              <w:rPr>
                <w:sz w:val="16"/>
              </w:rPr>
              <w:t>Strategy funcional</w:t>
            </w:r>
          </w:p>
        </w:tc>
        <w:tc>
          <w:tcPr>
            <w:tcW w:type="dxa" w:w="2664"/>
            <w:vAlign w:val="center"/>
            <w:tcBorders>
              <w:top w:val="single" w:sz="4" w:color="D8E0E4"/>
              <w:left w:val="single" w:sz="4" w:color="D8E0E4"/>
              <w:bottom w:val="single" w:sz="4" w:color="D8E0E4"/>
              <w:right w:val="single" w:sz="4" w:color="D8E0E4"/>
            </w:tcBorders>
          </w:tcPr>
          <w:p>
            <w:pPr>
              <w:spacing w:after="0" w:line="252" w:lineRule="auto"/>
            </w:pPr>
            <w:r>
              <w:rPr>
                <w:sz w:val="16"/>
              </w:rPr>
              <w:t>Variar interpretación de errores sin duplicar transporte</w:t>
            </w:r>
          </w:p>
        </w:tc>
        <w:tc>
          <w:tcPr>
            <w:tcW w:type="dxa" w:w="2952"/>
            <w:vAlign w:val="center"/>
            <w:tcBorders>
              <w:top w:val="single" w:sz="4" w:color="D8E0E4"/>
              <w:left w:val="single" w:sz="4" w:color="D8E0E4"/>
              <w:bottom w:val="single" w:sz="4" w:color="D8E0E4"/>
              <w:right w:val="single" w:sz="4" w:color="D8E0E4"/>
            </w:tcBorders>
          </w:tcPr>
          <w:p>
            <w:pPr>
              <w:spacing w:after="0" w:line="252" w:lineRule="auto"/>
            </w:pPr>
            <w:r>
              <w:rPr>
                <w:sz w:val="16"/>
              </w:rPr>
              <w:t>errorFromResponse inyectado en requestApi por campaignsClient</w:t>
            </w:r>
          </w:p>
        </w:tc>
        <w:tc>
          <w:tcPr>
            <w:tcW w:type="dxa" w:w="2736"/>
            <w:vAlign w:val="center"/>
            <w:tcBorders>
              <w:top w:val="single" w:sz="4" w:color="D8E0E4"/>
              <w:left w:val="single" w:sz="4" w:color="D8E0E4"/>
              <w:bottom w:val="single" w:sz="4" w:color="D8E0E4"/>
              <w:right w:val="single" w:sz="4" w:color="D8E0E4"/>
            </w:tcBorders>
          </w:tcPr>
          <w:p>
            <w:pPr>
              <w:spacing w:after="0" w:line="252" w:lineRule="auto"/>
            </w:pPr>
            <w:r>
              <w:rPr>
                <w:sz w:val="16"/>
              </w:rPr>
              <w:t>Función sustituible; no se necesita jerarquía de clases</w:t>
            </w:r>
          </w:p>
        </w:tc>
      </w:tr>
      <w:tr>
        <w:trPr>
          <w:cantSplit/>
        </w:trPr>
        <w:tc>
          <w:tcPr>
            <w:tcW w:type="dxa" w:w="1440"/>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Fábrica de proveedor</w:t>
            </w:r>
          </w:p>
        </w:tc>
        <w:tc>
          <w:tcPr>
            <w:tcW w:type="dxa" w:w="2664"/>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Ensamblar dependencias en NestJS</w:t>
            </w:r>
          </w:p>
        </w:tc>
        <w:tc>
          <w:tcPr>
            <w:tcW w:type="dxa" w:w="2952"/>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useFactory en UsersModule y CampaignDraftsModule</w:t>
            </w:r>
          </w:p>
        </w:tc>
        <w:tc>
          <w:tcPr>
            <w:tcW w:type="dxa" w:w="2736"/>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No llamar automáticamente Factory Method de GoF</w:t>
            </w:r>
          </w:p>
        </w:tc>
      </w:tr>
    </w:tbl>
    <w:p>
      <w:pPr>
        <w:spacing w:after="0"/>
      </w:pPr>
    </w:p>
    <w:p>
      <w:r>
        <w:t>No se incorporaron Singleton, Observer, Abstract Factory ni Decorator manualmente solo para aumentar la lista de patrones. Los decoradores sintácticos de NestJS no prueban por sí mismos el patrón Decorator de GoF.</w:t>
      </w:r>
    </w:p>
    <w:p>
      <w:pPr>
        <w:pStyle w:val="Heading1"/>
      </w:pPr>
      <w:r>
        <w:t>Pruebas que respaldan las decisiones</w:t>
      </w:r>
    </w:p>
    <w:p>
      <w:r>
        <w:t>En el corte del sprint y su estabilización constan 93 pruebas frontend, 93 backend y 14 de integración con PostgreSQL, total 200 aprobadas. También se ejecutaron lint, tipos y compilación. Los tests de arquitectura vigilan importaciones indebidas desde domain/application hacia NestJS, TypeORM o infrastructure; los de API verifican transporte y errores; los de portada prueban el contrato del lector; las integraciones prueban persistencia y autorización. Estas ejecuciones disminuyen riesgo de regresión, pero no equivalen a una medida de cobertura ni demuestran ausencia de defectos.</w:t>
      </w:r>
    </w:p>
    <w:tbl>
      <w:tblPr>
        <w:tblW w:type="auto" w:w="0"/>
        <w:jc w:val="center"/>
        <w:tblLayout w:type="fixed"/>
        <w:tblLook w:firstColumn="1" w:firstRow="1" w:lastColumn="0" w:lastRow="0" w:noHBand="0" w:noVBand="1" w:val="04A0"/>
      </w:tblPr>
      <w:tblGrid>
        <w:gridCol w:w="1728"/>
        <w:gridCol w:w="4176"/>
        <w:gridCol w:w="3888"/>
      </w:tblGrid>
      <w:tr>
        <w:trPr>
          <w:tblHeader/>
          <w:cantSplit/>
        </w:trPr>
        <w:tc>
          <w:tcPr>
            <w:tcW w:type="dxa" w:w="1728"/>
            <w:shd w:fill="16354C"/>
            <w:tcBorders>
              <w:top w:val="single" w:sz="4" w:color="16354C"/>
              <w:left w:val="single" w:sz="4" w:color="16354C"/>
              <w:bottom w:val="single" w:sz="4" w:color="16354C"/>
              <w:right w:val="single" w:sz="4" w:color="16354C"/>
            </w:tcBorders>
          </w:tcPr>
          <w:p>
            <w:r>
              <w:rPr>
                <w:b/>
                <w:color w:val="FFFFFF"/>
                <w:sz w:val="17"/>
              </w:rPr>
              <w:t>Decisión</w:t>
            </w:r>
          </w:p>
        </w:tc>
        <w:tc>
          <w:tcPr>
            <w:tcW w:type="dxa" w:w="4176"/>
            <w:shd w:fill="16354C"/>
            <w:tcBorders>
              <w:top w:val="single" w:sz="4" w:color="16354C"/>
              <w:left w:val="single" w:sz="4" w:color="16354C"/>
              <w:bottom w:val="single" w:sz="4" w:color="16354C"/>
              <w:right w:val="single" w:sz="4" w:color="16354C"/>
            </w:tcBorders>
          </w:tcPr>
          <w:p>
            <w:r>
              <w:rPr>
                <w:b/>
                <w:color w:val="FFFFFF"/>
                <w:sz w:val="17"/>
              </w:rPr>
              <w:t>Archivo de prueba</w:t>
            </w:r>
          </w:p>
        </w:tc>
        <w:tc>
          <w:tcPr>
            <w:tcW w:type="dxa" w:w="3888"/>
            <w:shd w:fill="16354C"/>
            <w:tcBorders>
              <w:top w:val="single" w:sz="4" w:color="16354C"/>
              <w:left w:val="single" w:sz="4" w:color="16354C"/>
              <w:bottom w:val="single" w:sz="4" w:color="16354C"/>
              <w:right w:val="single" w:sz="4" w:color="16354C"/>
            </w:tcBorders>
          </w:tcPr>
          <w:p>
            <w:r>
              <w:rPr>
                <w:b/>
                <w:color w:val="FFFFFF"/>
                <w:sz w:val="17"/>
              </w:rPr>
              <w:t>Qué demuestra</w:t>
            </w:r>
          </w:p>
        </w:tc>
      </w:tr>
      <w:tr>
        <w:trPr>
          <w:cantSplit/>
        </w:trPr>
        <w:tc>
          <w:tcPr>
            <w:tcW w:type="dxa" w:w="1728"/>
            <w:vAlign w:val="center"/>
            <w:tcBorders>
              <w:top w:val="single" w:sz="4" w:color="D8E0E4"/>
              <w:left w:val="single" w:sz="4" w:color="D8E0E4"/>
              <w:bottom w:val="single" w:sz="4" w:color="D8E0E4"/>
              <w:right w:val="single" w:sz="4" w:color="D8E0E4"/>
            </w:tcBorders>
          </w:tcPr>
          <w:p>
            <w:pPr>
              <w:spacing w:after="0" w:line="252" w:lineRule="auto"/>
            </w:pPr>
            <w:r>
              <w:rPr>
                <w:sz w:val="16"/>
              </w:rPr>
              <w:t>DRY y LSP</w:t>
            </w:r>
          </w:p>
        </w:tc>
        <w:tc>
          <w:tcPr>
            <w:tcW w:type="dxa" w:w="4176"/>
            <w:vAlign w:val="center"/>
            <w:tcBorders>
              <w:top w:val="single" w:sz="4" w:color="D8E0E4"/>
              <w:left w:val="single" w:sz="4" w:color="D8E0E4"/>
              <w:bottom w:val="single" w:sz="4" w:color="D8E0E4"/>
              <w:right w:val="single" w:sz="4" w:color="D8E0E4"/>
            </w:tcBorders>
          </w:tcPr>
          <w:p>
            <w:pPr>
              <w:spacing w:after="0" w:line="252" w:lineRule="auto"/>
            </w:pPr>
            <w:r>
              <w:rPr>
                <w:sz w:val="16"/>
              </w:rPr>
              <w:t>tests/api-request.test.ts</w:t>
            </w:r>
          </w:p>
        </w:tc>
        <w:tc>
          <w:tcPr>
            <w:tcW w:type="dxa" w:w="3888"/>
            <w:vAlign w:val="center"/>
            <w:tcBorders>
              <w:top w:val="single" w:sz="4" w:color="D8E0E4"/>
              <w:left w:val="single" w:sz="4" w:color="D8E0E4"/>
              <w:bottom w:val="single" w:sz="4" w:color="D8E0E4"/>
              <w:right w:val="single" w:sz="4" w:color="D8E0E4"/>
            </w:tcBorders>
          </w:tcPr>
          <w:p>
            <w:pPr>
              <w:spacing w:after="0" w:line="252" w:lineRule="auto"/>
            </w:pPr>
            <w:r>
              <w:rPr>
                <w:sz w:val="16"/>
              </w:rPr>
              <w:t>Transporte común, error especializado y respuesta vacía prevista</w:t>
            </w:r>
          </w:p>
        </w:tc>
      </w:tr>
      <w:tr>
        <w:trPr>
          <w:cantSplit/>
        </w:trPr>
        <w:tc>
          <w:tcPr>
            <w:tcW w:type="dxa" w:w="1728"/>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KISS visual</w:t>
            </w:r>
          </w:p>
        </w:tc>
        <w:tc>
          <w:tcPr>
            <w:tcW w:type="dxa" w:w="4176"/>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tests/draft-review.test.ts</w:t>
            </w:r>
          </w:p>
        </w:tc>
        <w:tc>
          <w:tcPr>
            <w:tcW w:type="dxa" w:w="3888"/>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Vista de revisión sin publicar una campaña</w:t>
            </w:r>
          </w:p>
        </w:tc>
      </w:tr>
      <w:tr>
        <w:trPr>
          <w:cantSplit/>
        </w:trPr>
        <w:tc>
          <w:tcPr>
            <w:tcW w:type="dxa" w:w="1728"/>
            <w:vAlign w:val="center"/>
            <w:tcBorders>
              <w:top w:val="single" w:sz="4" w:color="D8E0E4"/>
              <w:left w:val="single" w:sz="4" w:color="D8E0E4"/>
              <w:bottom w:val="single" w:sz="4" w:color="D8E0E4"/>
              <w:right w:val="single" w:sz="4" w:color="D8E0E4"/>
            </w:tcBorders>
          </w:tcPr>
          <w:p>
            <w:pPr>
              <w:spacing w:after="0" w:line="252" w:lineRule="auto"/>
            </w:pPr>
            <w:r>
              <w:rPr>
                <w:sz w:val="16"/>
              </w:rPr>
              <w:t>DIP e ISP</w:t>
            </w:r>
          </w:p>
        </w:tc>
        <w:tc>
          <w:tcPr>
            <w:tcW w:type="dxa" w:w="4176"/>
            <w:vAlign w:val="center"/>
            <w:tcBorders>
              <w:top w:val="single" w:sz="4" w:color="D8E0E4"/>
              <w:left w:val="single" w:sz="4" w:color="D8E0E4"/>
              <w:bottom w:val="single" w:sz="4" w:color="D8E0E4"/>
              <w:right w:val="single" w:sz="4" w:color="D8E0E4"/>
            </w:tcBorders>
          </w:tcPr>
          <w:p>
            <w:pPr>
              <w:spacing w:after="0" w:line="252" w:lineRule="auto"/>
            </w:pPr>
            <w:r>
              <w:rPr>
                <w:sz w:val="16"/>
              </w:rPr>
              <w:t>backend/test/architecture.test.ts; backend/test/cover-draft.test.ts</w:t>
            </w:r>
          </w:p>
        </w:tc>
        <w:tc>
          <w:tcPr>
            <w:tcW w:type="dxa" w:w="3888"/>
            <w:vAlign w:val="center"/>
            <w:tcBorders>
              <w:top w:val="single" w:sz="4" w:color="D8E0E4"/>
              <w:left w:val="single" w:sz="4" w:color="D8E0E4"/>
              <w:bottom w:val="single" w:sz="4" w:color="D8E0E4"/>
              <w:right w:val="single" w:sz="4" w:color="D8E0E4"/>
            </w:tcBorders>
          </w:tcPr>
          <w:p>
            <w:pPr>
              <w:spacing w:after="0" w:line="252" w:lineRule="auto"/>
            </w:pPr>
            <w:r>
              <w:rPr>
                <w:sz w:val="16"/>
              </w:rPr>
              <w:t>Fronteras de dependencias y lector pequeño</w:t>
            </w:r>
          </w:p>
        </w:tc>
      </w:tr>
      <w:tr>
        <w:trPr>
          <w:cantSplit/>
        </w:trPr>
        <w:tc>
          <w:tcPr>
            <w:tcW w:type="dxa" w:w="1728"/>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Persistencia real</w:t>
            </w:r>
          </w:p>
        </w:tc>
        <w:tc>
          <w:tcPr>
            <w:tcW w:type="dxa" w:w="4176"/>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backend/integration/*.integration.test.ts</w:t>
            </w:r>
          </w:p>
        </w:tc>
        <w:tc>
          <w:tcPr>
            <w:tcW w:type="dxa" w:w="3888"/>
            <w:vAlign w:val="center"/>
            <w:shd w:fill="F3F7F8"/>
            <w:tcBorders>
              <w:top w:val="single" w:sz="4" w:color="D8E0E4"/>
              <w:left w:val="single" w:sz="4" w:color="D8E0E4"/>
              <w:bottom w:val="single" w:sz="4" w:color="D8E0E4"/>
              <w:right w:val="single" w:sz="4" w:color="D8E0E4"/>
            </w:tcBorders>
          </w:tcPr>
          <w:p>
            <w:pPr>
              <w:spacing w:after="0" w:line="252" w:lineRule="auto"/>
            </w:pPr>
            <w:r>
              <w:rPr>
                <w:sz w:val="16"/>
              </w:rPr>
              <w:t>API, PostgreSQL, permisos y recarga de datos</w:t>
            </w:r>
          </w:p>
        </w:tc>
      </w:tr>
    </w:tbl>
    <w:p>
      <w:pPr>
        <w:spacing w:after="0"/>
      </w:pPr>
    </w:p>
    <w:p>
      <w:pPr>
        <w:pStyle w:val="Heading1"/>
      </w:pPr>
      <w:r>
        <w:t>Preguntas que puede hacer el docente</w:t>
      </w:r>
    </w:p>
    <w:p>
      <w:r>
        <w:rPr>
          <w:b/>
        </w:rPr>
        <w:t>¿Dónde está SOLID?</w:t>
      </w:r>
    </w:p>
    <w:p>
      <w:r>
        <w:t>En RegisterUser y repositorios se observan SRP y DIP; RecoveryDelivery presenta OCP; DraftFieldError y su test ilustran LSP; AuthorizedFileReader evidencia ISP. Abrir el consumidor, el contrato y la prueba.</w:t>
      </w:r>
    </w:p>
    <w:p>
      <w:r>
        <w:rPr>
          <w:b/>
        </w:rPr>
        <w:t>¿Por qué repetir validaciones en cliente y servidor si existe DRY?</w:t>
      </w:r>
    </w:p>
    <w:p>
      <w:r>
        <w:t>El navegador mejora la experiencia; la API es la frontera de confianza. No son duplicaciones intercambiables.</w:t>
      </w:r>
    </w:p>
    <w:p>
      <w:r>
        <w:rPr>
          <w:b/>
        </w:rPr>
        <w:t>¿Por qué no se construyeron pagos o el módulo completo del creador?</w:t>
      </w:r>
    </w:p>
    <w:p>
      <w:r>
        <w:t>YAGNI y el alcance aprobado: el sprint solicitó base integrada y borrador inicial. Un pago falso o una publicación simulada crearían evidencia engañosa.</w:t>
      </w:r>
    </w:p>
    <w:p>
      <w:r>
        <w:rPr>
          <w:b/>
        </w:rPr>
        <w:t>¿Cómo demuestra que la refactorización no rompió el producto?</w:t>
      </w:r>
    </w:p>
    <w:p>
      <w:r>
        <w:t>Se conservaron contratos, se añadieron regresiones y se ejecutaron pruebas, integración con PostgreSQL, lint, tipos y build. Esto reduce el riesgo, no sustituye aceptación de usuario.</w:t>
      </w:r>
    </w:p>
    <w:p>
      <w:r>
        <w:rPr>
          <w:b/>
        </w:rPr>
        <w:t>¿Qué pasa si cambia la base?</w:t>
      </w:r>
    </w:p>
    <w:p>
      <w:r>
        <w:t>Se revisan repositorios adaptadores, migraciones y pruebas. DIP localiza impacto, pero no hace desaparecer la modificación del esquema.</w:t>
      </w:r>
    </w:p>
    <w:p>
      <w:r>
        <w:rPr>
          <w:b/>
        </w:rPr>
        <w:t>¿Se usó TDD?</w:t>
      </w:r>
    </w:p>
    <w:p>
      <w:r>
        <w:t>No se afirma TDD para todo el sprint. Hubo pruebas existentes y pruebas de regresión añadidas al refactorizar; el orden real de desarrollo varió.</w:t>
      </w:r>
    </w:p>
    <w:p>
      <w:pPr>
        <w:pStyle w:val="Heading1"/>
      </w:pPr>
      <w:r>
        <w:t>Límites y honestidad técnica</w:t>
      </w:r>
    </w:p>
    <w:p>
      <w:r>
        <w:t>Los patrones citados son ejemplos localizados, no una declaración de perfección arquitectónica. El constructor todavía coordina varios estados; la inspección de firmas de archivo no reemplaza antivirus; el correo de recuperación se demuestra localmente y las políticas de verificación, categorías, retención y permisos finales requieren confirmación. El buen uso de principios también consiste en reconocer estas fronteras y no inventar reglas del cliente.</w:t>
      </w:r>
    </w:p>
    <w:p>
      <w:pPr>
        <w:pStyle w:val="Heading1"/>
      </w:pPr>
      <w:r>
        <w:t>Fuentes para estudiar</w:t>
      </w:r>
    </w:p>
    <w:p>
      <w:pPr>
        <w:pStyle w:val="ListBullet"/>
        <w:spacing w:after="60"/>
      </w:pPr>
      <w:r>
        <w:t>Código y pruebas del repositorio DEV, commit 4bf4e07; docs/calidad-sprint-1.md como guía interna previa, actualizada aquí con el corte de 200 pruebas.</w:t>
      </w:r>
    </w:p>
    <w:p>
      <w:pPr>
        <w:pStyle w:val="ListBullet"/>
        <w:spacing w:after="60"/>
      </w:pPr>
      <w:r>
        <w:t>APUNTES DE PROYECTO DE SISTEMAS II Teams.docx: SOLID, DRY, YAGNI, KISS, IoC, composición y pruebas.</w:t>
      </w:r>
    </w:p>
    <w:p>
      <w:pPr>
        <w:pStyle w:val="ListBullet"/>
        <w:spacing w:after="60"/>
      </w:pPr>
      <w:r>
        <w:t>SOLID.pdf, DRY.pdf y YAGNI.pdf facilitados por el docente; se usan sus conceptos, aplicados al stack TypeScript del proyecto.</w:t>
      </w:r>
    </w:p>
    <w:p>
      <w:pPr>
        <w:pStyle w:val="ListBullet"/>
        <w:spacing w:after="60"/>
      </w:pPr>
      <w:r>
        <w:t>Rúbrica de Sprint 1 y README.md de DEV para alcance, entorno y comandos de reproducción.</w:t>
      </w:r>
    </w:p>
    <w:sectPr w:rsidR="00FC693F" w:rsidRPr="0006063C" w:rsidSect="00034616">
      <w:footerReference w:type="default" r:id="rId9"/>
      <w:pgSz w:w="12240" w:h="15840"/>
      <w:pgMar w:top="1152" w:right="1181" w:bottom="1037" w:left="1267" w:header="576" w:footer="56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15B62"/>
        <w:sz w:val="16"/>
      </w:rPr>
      <w:t xml:space="preserve">Brotar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1824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w:hAnsi="Aptos"/>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basedOn w:val="Normal"/>
    <w:pPr>
      <w:spacing w:after="80"/>
      <w:ind w:left="259"/>
    </w:pPr>
    <w:rPr>
      <w:rFonts w:ascii="Consolas" w:hAnsi="Consolas"/>
      <w:color w:val="16354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