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28"/>
        </w:rPr>
        <w:t>Data Audit, Cleaning and Transformation Report</w:t>
      </w:r>
    </w:p>
    <w:p>
      <w:pPr>
        <w:spacing w:before="200" w:after="100"/>
      </w:pPr>
      <w:r>
        <w:rPr>
          <w:rFonts w:ascii="Times New Roman" w:hAnsi="Times New Roman"/>
          <w:b/>
          <w:color w:val="000000"/>
          <w:sz w:val="28"/>
        </w:rPr>
        <w:t>1. General Dataset Summary</w:t>
      </w:r>
    </w:p>
    <w:p>
      <w:pPr>
        <w:spacing w:after="200"/>
      </w:pPr>
      <w:r>
        <w:rPr>
          <w:rFonts w:ascii="Times New Roman" w:hAnsi="Times New Roman"/>
          <w:b w:val="0"/>
          <w:color w:val="000000"/>
          <w:sz w:val="20"/>
        </w:rPr>
        <w:t>• Initial total records (rows): 541,909</w:t>
        <w:br/>
      </w:r>
      <w:r>
        <w:rPr>
          <w:rFonts w:ascii="Times New Roman" w:hAnsi="Times New Roman"/>
          <w:b w:val="0"/>
          <w:color w:val="000000"/>
          <w:sz w:val="20"/>
        </w:rPr>
        <w:t>• Cleaned records (rows): 467,335</w:t>
        <w:br/>
      </w:r>
      <w:r>
        <w:rPr>
          <w:rFonts w:ascii="Times New Roman" w:hAnsi="Times New Roman"/>
          <w:b w:val="0"/>
          <w:color w:val="000000"/>
          <w:sz w:val="20"/>
        </w:rPr>
        <w:t>• Total filtered/modified records: 74,574</w:t>
        <w:br/>
      </w:r>
      <w:r>
        <w:rPr>
          <w:rFonts w:ascii="Times New Roman" w:hAnsi="Times New Roman"/>
          <w:b w:val="0"/>
          <w:color w:val="000000"/>
          <w:sz w:val="20"/>
        </w:rPr>
        <w:t>• Status: Fully audited, type-error quantities corrected to positive, clean financial amounts, and enriched for analytics.</w:t>
      </w:r>
    </w:p>
    <w:p>
      <w:pPr>
        <w:spacing w:before="200" w:after="100"/>
      </w:pPr>
      <w:r>
        <w:rPr>
          <w:rFonts w:ascii="Times New Roman" w:hAnsi="Times New Roman"/>
          <w:b/>
          <w:color w:val="000000"/>
          <w:sz w:val="28"/>
        </w:rPr>
        <w:t>2. Detailed Log of Errors and Fixes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#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Table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Column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Error Description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Action Taken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Online Retail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General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Duplication: Found 5,268 identical duplicate rows.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Dropped duplicate lines to prevent artificial sales inflation.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Online Retail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Quantity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Typing Errors: Detected 10,587 rows with negative quantities due to data-entry mistakes.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Converted negative quantities into positive values using absolute value to preserve sales volume.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Online Retail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Description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Garbage data: 1,509 blank cells or corrupt symbols ('?' / '??').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Standardized invalid text entries into 'UNKNOWN'.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Online Retail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CustomerID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Missing IDs: 135,037 rows without a client ID.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Replaced missing customer identifiers with 'N/D' (No Disponible).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Online Retail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UnitPrice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Invalid pricing: 2,512 rows with prices &lt;= 0.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Filtered out non-commercial records.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Online Retail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Quantity / UnitPrice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Statistical Outliers: 66,794 rows beyond Interquartile Range (IQR).</w:t>
            </w:r>
          </w:p>
        </w:tc>
        <w:tc>
          <w:tcPr>
            <w:tcW w:type="dxa" w:w="1872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Removed extreme values and typing errors.</w:t>
            </w:r>
          </w:p>
        </w:tc>
      </w:tr>
    </w:tbl>
    <w:p>
      <w:pPr>
        <w:spacing w:before="300" w:after="100"/>
      </w:pPr>
      <w:r>
        <w:rPr>
          <w:rFonts w:ascii="Times New Roman" w:hAnsi="Times New Roman"/>
          <w:b/>
          <w:color w:val="000000"/>
          <w:sz w:val="28"/>
        </w:rPr>
        <w:t>3. Explanation of New Columns and Data Enrichments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New Column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Source / Logic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Sigla / Classification Details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Business Purpose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IsProduct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StockCode validation check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Tags physical items as True versus administrative fees (POST, M, D, DOT, BANK CHARGES) as False.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Enables clean inventory and unit-sales analysis without delivery charges skewing metrics.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YearMonth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InvoiceDate formatting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Converts timestamps into a standard 'YYYY-MM' period string.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Simplifies time-series analysis and monthly trend dashboards.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Month / DayOfWeek / Hour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InvoiceDate extraction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Pulls out calendar month name, weekday name, and transaction hour.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Provides deep behavioral visibility into customer shopping patterns.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TotalAmount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Quantity multiplied by UnitPrice (rounded to 2 decimals)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Computes precise monetary value per line item with clean decimal formatting.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/>
                <w:b w:val="0"/>
                <w:color w:val="000000"/>
                <w:sz w:val="20"/>
              </w:rPr>
              <w:t>Acts as the primary revenue metric for overall sales performance evaluation.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