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46"/>
        </w:rPr>
        <w:t>Diagnóstico de churn da RavenStack</w:t>
      </w:r>
    </w:p>
    <w:p>
      <w:pPr>
        <w:spacing w:after="160"/>
      </w:pPr>
      <w:r>
        <w:rPr>
          <w:rFonts w:ascii="Aptos" w:hAnsi="Aptos"/>
          <w:b w:val="0"/>
          <w:color w:val="8F1D21"/>
          <w:sz w:val="21"/>
        </w:rPr>
        <w:t>Resposta executiva e trajetória de construção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26"/>
        </w:rPr>
        <w:t>Resposta para o CEO</w:t>
      </w:r>
    </w:p>
    <w:p>
      <w:r>
        <w:rPr>
          <w:rFonts w:ascii="Aptos" w:hAnsi="Aptos"/>
          <w:b w:val="0"/>
          <w:color w:val="000000"/>
          <w:sz w:val="19"/>
        </w:rPr>
        <w:t xml:space="preserve">O churn mensal ponderado chegou a </w:t>
      </w:r>
      <w:r>
        <w:rPr>
          <w:rFonts w:ascii="Aptos" w:hAnsi="Aptos"/>
          <w:b/>
          <w:color w:val="000000"/>
          <w:sz w:val="19"/>
        </w:rPr>
        <w:t>12,4%</w:t>
      </w:r>
      <w:r>
        <w:rPr>
          <w:rFonts w:ascii="Aptos" w:hAnsi="Aptos"/>
          <w:b w:val="0"/>
          <w:color w:val="000000"/>
          <w:sz w:val="19"/>
        </w:rPr>
        <w:t xml:space="preserve"> no período recente, alta de </w:t>
      </w:r>
      <w:r>
        <w:rPr>
          <w:rFonts w:ascii="Aptos" w:hAnsi="Aptos"/>
          <w:b/>
          <w:color w:val="000000"/>
          <w:sz w:val="19"/>
        </w:rPr>
        <w:t>7,0 pontos percentuais</w:t>
      </w:r>
      <w:r>
        <w:rPr>
          <w:rFonts w:ascii="Aptos" w:hAnsi="Aptos"/>
          <w:b w:val="0"/>
          <w:color w:val="000000"/>
          <w:sz w:val="19"/>
        </w:rPr>
        <w:t xml:space="preserve"> sobre a referência. O MRR perdido observado foi de </w:t>
      </w:r>
      <w:r>
        <w:rPr>
          <w:rFonts w:ascii="Aptos" w:hAnsi="Aptos"/>
          <w:b/>
          <w:color w:val="000000"/>
          <w:sz w:val="19"/>
        </w:rPr>
        <w:t>US$ 1.622.337</w:t>
      </w:r>
      <w:r>
        <w:rPr>
          <w:rFonts w:ascii="Aptos" w:hAnsi="Aptos"/>
          <w:b w:val="0"/>
          <w:color w:val="000000"/>
          <w:sz w:val="19"/>
        </w:rPr>
        <w:t>. Esse valor mede a receita associada aos churns registrados; não representa receita automaticamente recuperável.</w:t>
      </w:r>
    </w:p>
    <w:p>
      <w:r>
        <w:rPr>
          <w:rFonts w:ascii="Aptos" w:hAnsi="Aptos"/>
          <w:b w:val="0"/>
          <w:color w:val="000000"/>
          <w:sz w:val="19"/>
        </w:rPr>
        <w:t xml:space="preserve">O aparente conflito entre Produto e Customer Success vem de populações diferentes. O uso diário por conta cresceu no agregado, de </w:t>
      </w:r>
      <w:r>
        <w:rPr>
          <w:rFonts w:ascii="Aptos" w:hAnsi="Aptos"/>
          <w:b/>
          <w:color w:val="000000"/>
          <w:sz w:val="19"/>
        </w:rPr>
        <w:t>0,336 para 0,493</w:t>
      </w:r>
      <w:r>
        <w:rPr>
          <w:rFonts w:ascii="Aptos" w:hAnsi="Aptos"/>
          <w:b w:val="0"/>
          <w:color w:val="000000"/>
          <w:sz w:val="19"/>
        </w:rPr>
        <w:t xml:space="preserve">, mas caiu entre as contas que churnariam nos 30 dias seguintes, de </w:t>
      </w:r>
      <w:r>
        <w:rPr>
          <w:rFonts w:ascii="Aptos" w:hAnsi="Aptos"/>
          <w:b/>
          <w:color w:val="000000"/>
          <w:sz w:val="19"/>
        </w:rPr>
        <w:t>0,349 para 0,304</w:t>
      </w:r>
      <w:r>
        <w:rPr>
          <w:rFonts w:ascii="Aptos" w:hAnsi="Aptos"/>
          <w:b w:val="0"/>
          <w:color w:val="000000"/>
          <w:sz w:val="19"/>
        </w:rPr>
        <w:t xml:space="preserve">. A satisfação geral dos respondentes subiu de </w:t>
      </w:r>
      <w:r>
        <w:rPr>
          <w:rFonts w:ascii="Aptos" w:hAnsi="Aptos"/>
          <w:b/>
          <w:color w:val="000000"/>
          <w:sz w:val="19"/>
        </w:rPr>
        <w:t>3,96 para 4,02</w:t>
      </w:r>
      <w:r>
        <w:rPr>
          <w:rFonts w:ascii="Aptos" w:hAnsi="Aptos"/>
          <w:b w:val="0"/>
          <w:color w:val="000000"/>
          <w:sz w:val="19"/>
        </w:rPr>
        <w:t xml:space="preserve">, enquanto caiu de </w:t>
      </w:r>
      <w:r>
        <w:rPr>
          <w:rFonts w:ascii="Aptos" w:hAnsi="Aptos"/>
          <w:b/>
          <w:color w:val="000000"/>
          <w:sz w:val="19"/>
        </w:rPr>
        <w:t>4,50 para 3,67</w:t>
      </w:r>
      <w:r>
        <w:rPr>
          <w:rFonts w:ascii="Aptos" w:hAnsi="Aptos"/>
          <w:b w:val="0"/>
          <w:color w:val="000000"/>
          <w:sz w:val="19"/>
        </w:rPr>
        <w:t xml:space="preserve"> entre respondentes que churnariam em 30 dias. As coberturas de satisfação foram de 63,3% e 65,9%; portanto, esses números descrevem quem respondeu a tickets, não toda a base.</w:t>
      </w:r>
    </w:p>
    <w:p>
      <w:r>
        <w:rPr>
          <w:rFonts w:ascii="Aptos" w:hAnsi="Aptos"/>
          <w:b/>
          <w:color w:val="000000"/>
          <w:sz w:val="19"/>
        </w:rPr>
        <w:t>Causa ainda não demonstrada.</w:t>
      </w:r>
      <w:r>
        <w:rPr>
          <w:rFonts w:ascii="Aptos" w:hAnsi="Aptos"/>
          <w:b w:val="0"/>
          <w:color w:val="000000"/>
          <w:sz w:val="19"/>
        </w:rPr>
        <w:t xml:space="preserve"> Nenhuma das seis hipóteses avaliadas passou simultaneamente pelos testes de estabilidade, associação, cronologia, amostra e confirmação entre fontes. Também não há concentração material comprovada: o maior segmento elegível, Estados Unidos, apresentou risco relativo descritivo de 1,08x, abaixo do limiar de 1,25x.</w:t>
      </w:r>
    </w:p>
    <w:p>
      <w:r>
        <w:rPr>
          <w:rFonts w:ascii="Aptos" w:hAnsi="Aptos"/>
          <w:b/>
          <w:color w:val="000000"/>
          <w:sz w:val="19"/>
        </w:rPr>
        <w:t>Decisão recomendada:</w:t>
      </w:r>
      <w:r>
        <w:rPr>
          <w:rFonts w:ascii="Aptos" w:hAnsi="Aptos"/>
          <w:b w:val="0"/>
          <w:color w:val="000000"/>
          <w:sz w:val="19"/>
        </w:rPr>
        <w:t xml:space="preserve"> corrigir a medição e validar uso e satisfação antes de automatizar qualquer intervenção em clientes. A abstenção causal evita direcionar esforço e receita para um mecanismo que os dados atuais não sustentam.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26"/>
        </w:rPr>
        <w:t>Ações priorizadas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/>
        </w:trPr>
        <w:tc>
          <w:tcPr>
            <w:tcW w:type="dxa" w:w="1191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Prioridade</w:t>
            </w:r>
          </w:p>
        </w:tc>
        <w:tc>
          <w:tcPr>
            <w:tcW w:type="dxa" w:w="1417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3061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Ação e critério de sucesso</w:t>
            </w:r>
          </w:p>
        </w:tc>
        <w:tc>
          <w:tcPr>
            <w:tcW w:type="dxa" w:w="3118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Impacto estimado</w:t>
            </w:r>
          </w:p>
        </w:tc>
        <w:tc>
          <w:tcPr>
            <w:tcW w:type="dxa" w:w="1361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Confiança</w:t>
            </w:r>
          </w:p>
        </w:tc>
      </w:tr>
      <w:tr>
        <w:tc>
          <w:tcPr>
            <w:tcW w:type="dxa" w:w="11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7 dias</w:t>
            </w:r>
          </w:p>
        </w:tc>
        <w:tc>
          <w:tcPr>
            <w:tcW w:type="dxa" w:w="141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Head de Dados</w:t>
            </w:r>
          </w:p>
        </w:tc>
        <w:tc>
          <w:tcPr>
            <w:tcW w:type="dxa" w:w="306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Sanear eventos fora do ciclo de vida e reproduzir as métricas. Avançar se churn e coortes permanecerem estáveis.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Impedir dados temporalmente inválidos de sustentar decisões. Impacto financeiro não estimável antes do saneamento.</w:t>
            </w:r>
          </w:p>
        </w:tc>
        <w:tc>
          <w:tcPr>
            <w:tcW w:type="dxa" w:w="136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Alta para qualidade; não causal.</w:t>
            </w:r>
          </w:p>
        </w:tc>
      </w:tr>
      <w:tr>
        <w:tc>
          <w:tcPr>
            <w:tcW w:type="dxa" w:w="1191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30 dias</w:t>
            </w:r>
          </w:p>
        </w:tc>
        <w:tc>
          <w:tcPr>
            <w:tcW w:type="dxa" w:w="1417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Head de Produto</w:t>
            </w:r>
          </w:p>
        </w:tc>
        <w:tc>
          <w:tcPr>
            <w:tcW w:type="dxa" w:w="3061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Acompanhar uso antes do churn com cobertura mínima de 70%. Avançar se a queda anteceder o churn; parar se desaparecer ou ocorrer depois.</w:t>
            </w:r>
          </w:p>
        </w:tc>
        <w:tc>
          <w:tcPr>
            <w:tcW w:type="dxa" w:w="311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Produzir a primeira estimativa prospectiva comparável. Impacto financeiro ainda não estimável.</w:t>
            </w:r>
          </w:p>
        </w:tc>
        <w:tc>
          <w:tcPr>
            <w:tcW w:type="dxa" w:w="1361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Condicionada à cobertura.</w:t>
            </w:r>
          </w:p>
        </w:tc>
      </w:tr>
      <w:tr>
        <w:tc>
          <w:tcPr>
            <w:tcW w:type="dxa" w:w="11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30 dias</w:t>
            </w:r>
          </w:p>
        </w:tc>
        <w:tc>
          <w:tcPr>
            <w:tcW w:type="dxa" w:w="141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Head de CS</w:t>
            </w:r>
          </w:p>
        </w:tc>
        <w:tc>
          <w:tcPr>
            <w:tcW w:type="dxa" w:w="306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Medir satisfação fora dos tickets, com resposta mínima de 70% por estrato. Avançar se a diferença persistir; parar se desaparecer.</w:t>
            </w:r>
          </w:p>
        </w:tc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Remover o viés de respondentes e comparar coortes representativas. Impacto financeiro ainda não estimável.</w:t>
            </w:r>
          </w:p>
        </w:tc>
        <w:tc>
          <w:tcPr>
            <w:tcW w:type="dxa" w:w="136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Condicionada à representatividade.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000000"/>
          <w:sz w:val="19"/>
        </w:rPr>
        <w:t>O limite financeiro conhecido é o MRR perdido observado de US$ 1.622.337. Sem histórico de intervenções, qualquer previsão de recuperação seria inventada.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26"/>
        </w:rPr>
        <w:t>Como cheguei à resposta</w:t>
      </w:r>
    </w:p>
    <w:p>
      <w:r>
        <w:rPr>
          <w:rFonts w:ascii="Aptos" w:hAnsi="Aptos"/>
          <w:b w:val="0"/>
          <w:color w:val="000000"/>
          <w:sz w:val="19"/>
        </w:rPr>
        <w:t>Eu tratei a documentação como parte do produto. O trabalho começou com leitura repetida do briefing até duas passadas consecutivas sem novos achados. Em seguida, conduzi cinco ondas socráticas adaptativas, com 25 decisões registradas, antes de escrever a SPEC.</w:t>
      </w:r>
    </w:p>
    <w:p>
      <w:r>
        <w:rPr>
          <w:rFonts w:ascii="Aptos" w:hAnsi="Aptos"/>
          <w:b w:val="0"/>
          <w:color w:val="000000"/>
          <w:sz w:val="19"/>
        </w:rPr>
        <w:t xml:space="preserve">A implementação seguiu SDD e ciclos de </w:t>
      </w:r>
      <w:r>
        <w:rPr>
          <w:rFonts w:ascii="Aptos" w:hAnsi="Aptos"/>
          <w:b/>
          <w:color w:val="000000"/>
          <w:sz w:val="19"/>
        </w:rPr>
        <w:t>Planejamento, Revisão, Execução e Teste</w:t>
      </w:r>
      <w:r>
        <w:rPr>
          <w:rFonts w:ascii="Aptos" w:hAnsi="Aptos"/>
          <w:b w:val="0"/>
          <w:color w:val="000000"/>
          <w:sz w:val="19"/>
        </w:rPr>
        <w:t>. O primeiro plano passou por 20 revisões. A construção ocorreu em nove fases, seguida por três rodadas de redundância e cinco rodadas de lapidação visual. Quando a evidência não sustentou causalidade ou o modelo preditivo não superou os gates fora do tempo, a solução recusou a conclusão em vez de fabricar confiança.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00000"/>
          <w:sz w:val="26"/>
        </w:rPr>
        <w:t>Evolução da resposta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/>
        </w:trPr>
        <w:tc>
          <w:tcPr>
            <w:tcW w:type="dxa" w:w="1587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2835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Problema encontrado</w:t>
            </w:r>
          </w:p>
        </w:tc>
        <w:tc>
          <w:tcPr>
            <w:tcW w:type="dxa" w:w="4139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Decisão humana</w:t>
            </w:r>
          </w:p>
        </w:tc>
        <w:tc>
          <w:tcPr>
            <w:tcW w:type="dxa" w:w="1020"/>
            <w:shd w:fill="1B1B1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Nota interna</w:t>
            </w:r>
          </w:p>
        </w:tc>
      </w:tr>
      <w:tr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Linha de base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 resposta confirmava o churn, mas destacava sinais frágeis.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Exigir impacto econômico, população e limite causal no primeiro bloco.</w:t>
            </w:r>
          </w:p>
        </w:tc>
        <w:tc>
          <w:tcPr>
            <w:tcW w:type="dxa" w:w="10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7,0</w:t>
            </w:r>
          </w:p>
        </w:tc>
      </w:tr>
      <w:tr>
        <w:tc>
          <w:tcPr>
            <w:tcW w:type="dxa" w:w="1587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Veredito completo</w:t>
            </w:r>
          </w:p>
        </w:tc>
        <w:tc>
          <w:tcPr>
            <w:tcW w:type="dxa" w:w="2835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Faltavam ausência de concentração e ação proporcional à evidência.</w:t>
            </w:r>
          </w:p>
        </w:tc>
        <w:tc>
          <w:tcPr>
            <w:tcW w:type="dxa" w:w="4139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Separar fatos, associações e hipóteses; recusar um mecanismo vencedor.</w:t>
            </w:r>
          </w:p>
        </w:tc>
        <w:tc>
          <w:tcPr>
            <w:tcW w:type="dxa" w:w="102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8,6</w:t>
            </w:r>
          </w:p>
        </w:tc>
      </w:tr>
      <w:tr>
        <w:tc>
          <w:tcPr>
            <w:tcW w:type="dxa" w:w="158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Abstenção e ações</w:t>
            </w:r>
          </w:p>
        </w:tc>
        <w:tc>
          <w:tcPr>
            <w:tcW w:type="dxa" w:w="28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 conclusão era correta, mas pouco acionável.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Converter incerteza em três validações com responsáveis, prazos e regras de parada.</w:t>
            </w:r>
          </w:p>
        </w:tc>
        <w:tc>
          <w:tcPr>
            <w:tcW w:type="dxa" w:w="10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9,5</w:t>
            </w:r>
          </w:p>
        </w:tc>
      </w:tr>
      <w:tr>
        <w:tc>
          <w:tcPr>
            <w:tcW w:type="dxa" w:w="1587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Entrega validada</w:t>
            </w:r>
          </w:p>
        </w:tc>
        <w:tc>
          <w:tcPr>
            <w:tcW w:type="dxa" w:w="2835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Era preciso provar consistência entre superfícies.</w:t>
            </w:r>
          </w:p>
        </w:tc>
        <w:tc>
          <w:tcPr>
            <w:tcW w:type="dxa" w:w="4139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Usar um JSON canônico, checksums, reprodução e 42 testes.</w:t>
            </w:r>
          </w:p>
        </w:tc>
        <w:tc>
          <w:tcPr>
            <w:tcW w:type="dxa" w:w="102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9,9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000000"/>
          <w:sz w:val="19"/>
        </w:rPr>
        <w:t>As notas são uma rubrica interna de qualidade da resposta. Não representam avaliação do G4 nem 99% de certeza causal.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26"/>
        </w:rPr>
        <w:t>Evidência e limites</w:t>
      </w:r>
    </w:p>
    <w:p>
      <w:r>
        <w:rPr>
          <w:rFonts w:ascii="Aptos" w:hAnsi="Aptos"/>
          <w:b w:val="0"/>
          <w:color w:val="000000"/>
          <w:sz w:val="19"/>
        </w:rPr>
        <w:t xml:space="preserve">A análise cruza as cinco tabelas por conta, assinatura e tempo. O painel usa janelas de 7, 30 e 90 dias e duas cronologias: </w:t>
      </w:r>
      <w:r>
        <w:rPr>
          <w:rFonts w:ascii="Aptos Mono" w:hAnsi="Aptos Mono"/>
          <w:b w:val="0"/>
          <w:color w:val="8F1D21"/>
          <w:sz w:val="18"/>
        </w:rPr>
        <w:t>observed</w:t>
      </w:r>
      <w:r>
        <w:rPr>
          <w:rFonts w:ascii="Aptos" w:hAnsi="Aptos"/>
          <w:b w:val="0"/>
          <w:color w:val="000000"/>
          <w:sz w:val="19"/>
        </w:rPr>
        <w:t xml:space="preserve">, para sensibilidade, e </w:t>
      </w:r>
      <w:r>
        <w:rPr>
          <w:rFonts w:ascii="Aptos Mono" w:hAnsi="Aptos Mono"/>
          <w:b w:val="0"/>
          <w:color w:val="8F1D21"/>
          <w:sz w:val="18"/>
        </w:rPr>
        <w:t>strict</w:t>
      </w:r>
      <w:r>
        <w:rPr>
          <w:rFonts w:ascii="Aptos" w:hAnsi="Aptos"/>
          <w:b w:val="0"/>
          <w:color w:val="000000"/>
          <w:sz w:val="19"/>
        </w:rPr>
        <w:t>, para decisão. A auditoria registrou 34.240 ocorrências de regras de qualidade; uma linha pode aparecer em mais de uma regra. Entre elas estão 19.142 usos anteriores à assinatura, 13.198 usos anteriores ao cadastro e 1.077 tickets anteriores ao cadastro.</w:t>
      </w:r>
    </w:p>
    <w:p>
      <w:r>
        <w:rPr>
          <w:rFonts w:ascii="Aptos" w:hAnsi="Aptos"/>
          <w:b w:val="0"/>
          <w:color w:val="000000"/>
          <w:sz w:val="19"/>
        </w:rPr>
        <w:t xml:space="preserve">O modelo preditivo foi tratado como opcional e não foi publicado porque falhou no gate fora do tempo. A watchlist contém contas específicas para validação, não autorização para contato. O </w:t>
      </w:r>
      <w:r>
        <w:rPr>
          <w:rFonts w:ascii="Aptos Mono" w:hAnsi="Aptos Mono"/>
          <w:b w:val="0"/>
          <w:color w:val="8F1D21"/>
          <w:sz w:val="18"/>
        </w:rPr>
        <w:t>analysis_id</w:t>
      </w:r>
      <w:r>
        <w:rPr>
          <w:rFonts w:ascii="Aptos" w:hAnsi="Aptos"/>
          <w:b w:val="0"/>
          <w:color w:val="000000"/>
          <w:sz w:val="19"/>
        </w:rPr>
        <w:t xml:space="preserve"> desta execução é </w:t>
      </w:r>
      <w:r>
        <w:rPr>
          <w:rFonts w:ascii="Aptos Mono" w:hAnsi="Aptos Mono"/>
          <w:b w:val="0"/>
          <w:color w:val="8F1D21"/>
          <w:sz w:val="18"/>
        </w:rPr>
        <w:t>886cfb2b…</w:t>
      </w:r>
      <w:r>
        <w:rPr>
          <w:rFonts w:ascii="Aptos" w:hAnsi="Aptos"/>
          <w:b w:val="0"/>
          <w:color w:val="000000"/>
          <w:sz w:val="19"/>
        </w:rPr>
        <w:t>.</w:t>
      </w:r>
    </w:p>
    <w:p>
      <w:pPr>
        <w:pStyle w:val="Heading1"/>
      </w:pPr>
      <w:r>
        <w:rPr>
          <w:rFonts w:ascii="Aptos Display" w:hAnsi="Aptos Display"/>
          <w:b/>
          <w:color w:val="000000"/>
          <w:sz w:val="26"/>
        </w:rPr>
        <w:t>Onde aprofundar</w:t>
      </w:r>
    </w:p>
    <w:p>
      <w:pPr>
        <w:pStyle w:val="ListBullet"/>
        <w:spacing w:after="20"/>
      </w:pPr>
      <w:hyperlink r:id="rId10">
        <w:r>
          <w:rPr>
            <w:color w:val="8F1D21"/>
            <w:u w:val="single"/>
          </w:rPr>
          <w:t>Relatório executivo completo</w:t>
        </w:r>
      </w:hyperlink>
    </w:p>
    <w:p>
      <w:pPr>
        <w:pStyle w:val="ListBullet"/>
        <w:spacing w:after="20"/>
      </w:pPr>
      <w:hyperlink r:id="rId11">
        <w:r>
          <w:rPr>
            <w:color w:val="8F1D21"/>
            <w:u w:val="single"/>
          </w:rPr>
          <w:t>Dashboard e instruções de reprodução</w:t>
        </w:r>
      </w:hyperlink>
    </w:p>
    <w:p>
      <w:pPr>
        <w:pStyle w:val="ListBullet"/>
        <w:spacing w:after="20"/>
      </w:pPr>
      <w:hyperlink r:id="rId12">
        <w:r>
          <w:rPr>
            <w:color w:val="8F1D21"/>
            <w:u w:val="single"/>
          </w:rPr>
          <w:t>Resposta canônica</w:t>
        </w:r>
      </w:hyperlink>
    </w:p>
    <w:p>
      <w:pPr>
        <w:pStyle w:val="ListBullet"/>
        <w:spacing w:after="20"/>
      </w:pPr>
      <w:hyperlink r:id="rId13">
        <w:r>
          <w:rPr>
            <w:color w:val="8F1D21"/>
            <w:u w:val="single"/>
          </w:rPr>
          <w:t>Diário de descoberta socrática</w:t>
        </w:r>
      </w:hyperlink>
    </w:p>
    <w:p>
      <w:pPr>
        <w:pStyle w:val="ListBullet"/>
        <w:spacing w:after="20"/>
      </w:pPr>
      <w:hyperlink r:id="rId14">
        <w:r>
          <w:rPr>
            <w:color w:val="8F1D21"/>
            <w:u w:val="single"/>
          </w:rPr>
          <w:t>Diário de implementação</w:t>
        </w:r>
      </w:hyperlink>
    </w:p>
    <w:sectPr>
      <w:footerReference w:type="default" r:id="rId9"/>
      <w:pgSz w:w="11906" w:h="16838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5"/>
      </w:rPr>
      <w:t>Luis Fernando Roquette  |  Challenge 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rtifacts/report.md" TargetMode="External"/><Relationship Id="rId11" Type="http://schemas.openxmlformats.org/officeDocument/2006/relationships/hyperlink" Target="../README.md" TargetMode="External"/><Relationship Id="rId12" Type="http://schemas.openxmlformats.org/officeDocument/2006/relationships/hyperlink" Target="../artifacts/ceo_answer.json" TargetMode="External"/><Relationship Id="rId13" Type="http://schemas.openxmlformats.org/officeDocument/2006/relationships/hyperlink" Target="../../../process-log/001-descoberta-socratica.md" TargetMode="External"/><Relationship Id="rId14" Type="http://schemas.openxmlformats.org/officeDocument/2006/relationships/hyperlink" Target="../../../process-log/003-implementacao-feedback-loop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de churn da RavenStack</dc:title>
  <dc:subject>Resposta executiva e trajetória de construção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