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b/>
          <w:bCs/>
          <w:color w:val="1F4E79"/>
          <w:sz w:val="56"/>
          <w:szCs w:val="56"/>
        </w:rPr>
        <w:t xml:space="preserve">PLANAPP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Centro de Competências de Planeamento, de Políticas e de Prospetiva da Administração Pública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Relatório de Auditoria de Conformidade</w:t>
      </w:r>
    </w:p>
    <w:p>
      <w:pPr>
        <w:spacing w:after="80"/>
        <w:jc w:val="center"/>
      </w:pPr>
      <w:r>
        <w:rPr>
          <w:color w:val="595959"/>
          <w:sz w:val="26"/>
          <w:szCs w:val="26"/>
        </w:rPr>
        <w:t xml:space="preserve">Nomenclatura, Etiquetas, Propriedade e Recursos de IA no Tenant Azure</w:t>
      </w:r>
    </w:p>
    <w:p>
      <w:pPr>
        <w:spacing w:after="40"/>
        <w:jc w:val="center"/>
      </w:pPr>
      <w:r>
        <w:rPr>
          <w:color w:val="808080"/>
          <w:sz w:val="18"/>
          <w:szCs w:val="18"/>
        </w:rPr>
        <w:t xml:space="preserve">Diagnóstico de base para a Política de Nomenclaturas v2.0</w:t>
      </w:r>
    </w:p>
    <w:p>
      <w:pPr>
        <w:spacing w:before="220" w:after="700"/>
        <w:jc w:val="center"/>
      </w:pPr>
      <w:r>
        <w:rPr>
          <w:b/>
          <w:bCs/>
          <w:color w:val="1F4E79"/>
          <w:sz w:val="24"/>
          <w:szCs w:val="24"/>
        </w:rPr>
        <w:t xml:space="preserve">Snapshot de 5 de junho de 2026</w:t>
      </w:r>
    </w:p>
    <w:p>
      <w:pPr>
        <w:spacing w:after="40"/>
        <w:jc w:val="center"/>
      </w:pPr>
      <w:r>
        <w:rPr>
          <w:sz w:val="20"/>
          <w:szCs w:val="20"/>
        </w:rPr>
        <w:t xml:space="preserve">Equipa de Gestão dos Sistemas de Informação, Transformação Digital e IA</w:t>
      </w:r>
    </w:p>
    <w:p>
      <w:pPr>
        <w:spacing w:after="40"/>
        <w:jc w:val="center"/>
      </w:pPr>
      <w:r>
        <w:rPr>
          <w:sz w:val="20"/>
          <w:szCs w:val="20"/>
        </w:rPr>
        <w:t xml:space="preserve">Autor: Luís Santos</w:t>
      </w:r>
    </w:p>
    <w:p>
      <w:pPr>
        <w:spacing w:after="40"/>
        <w:jc w:val="center"/>
      </w:pPr>
      <w:r>
        <w:rPr>
          <w:sz w:val="20"/>
          <w:szCs w:val="20"/>
        </w:rPr>
        <w:t xml:space="preserve">Junho de 2026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Documento interno — Classificação: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 w:line="276"/>
      </w:pPr>
      <w:r>
        <w:t xml:space="preserve">Este relatório apresenta o estado de conformidade do tenant Azure do PLANAPP face à Política de Nomenclaturas (padrão v2.0) e às regras de etiquetagem (tags) e governação. A análise abrange 548 recursos Azure distribuídos por 7 subscrições, com base num snapshot de 5 de junho de 2026, complementado por um inventário específico dos recursos de Inteligência Artificial (Azure AI Foundry) de 26 de maio de 2026 e por um levantamento de propriedade dos resource groups de 24 de março de 2026.</w:t>
      </w:r>
    </w:p>
    <w:p>
      <w:pPr>
        <w:spacing w:after="120" w:line="276"/>
      </w:pPr>
      <w:r>
        <w:rPr>
          <w:b/>
          <w:bCs/>
        </w:rPr>
        <w:t xml:space="preserve">Conclusão principal: </w:t>
      </w:r>
      <w:r>
        <w:t xml:space="preserve">o nível de conformidade é muito baixo e transversal a todas as subscrições. Apenas 6,8% dos recursos cumprem a nomenclatura e nenhum recurso possui o conjunto completo das quatro etiquetas obrigatórias. A maioria dos resource groups não tem proprietário direto atribuído e os recursos de IA apresentam exposição de rede pública generalizada. Estes resultados confirmam e quantificam a necessidade da Política de Nomenclaturas v2.0 e do respetivo mecanismo de imposição (enforcement).</w:t>
      </w:r>
    </w:p>
    <w:p>
      <w:pPr>
        <w:spacing w:before="80" w:after="120"/>
      </w:pPr>
      <w:r>
        <w:rPr>
          <w:b/>
          <w:bCs/>
          <w:color w:val="2E5C8A"/>
          <w:sz w:val="22"/>
          <w:szCs w:val="22"/>
        </w:rPr>
        <w:t xml:space="preserve">Indicadores-chave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548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Recursos analisados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6,8%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Nomenclatura conforme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0%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Tags completas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91%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RGs sem owner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B26A00"/>
                <w:sz w:val="40"/>
                <w:szCs w:val="40"/>
              </w:rPr>
              <w:t xml:space="preserve">511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Nomes não conformes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18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Recursos de 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IA com rede exposta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B26A00"/>
                <w:sz w:val="40"/>
                <w:szCs w:val="40"/>
              </w:rPr>
              <w:t xml:space="preserve">54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Ações de remediação</w:t>
            </w:r>
          </w:p>
        </w:tc>
      </w:tr>
    </w:tbl>
    <w:p>
      <w:pPr>
        <w:spacing w:before="160" w:after="120"/>
      </w:pPr>
      <w:r>
        <w:rPr>
          <w:b/>
          <w:bCs/>
          <w:color w:val="2E5C8A"/>
          <w:sz w:val="22"/>
          <w:szCs w:val="22"/>
        </w:rPr>
        <w:t xml:space="preserve">Principais constatações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Nomenclatura — </w:t>
      </w:r>
      <w:r>
        <w:t xml:space="preserve">511 dos 548 recursos (93,2%) não cumprem o padrão. Destes, 276 têm um tipo já mapeado na política mas nome incorreto, e 235 são de tipos ainda sem prefixo definido.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Etiquetas — </w:t>
      </w:r>
      <w:r>
        <w:t xml:space="preserve">nenhum recurso tem as quatro tags obrigatórias (equipa, ambiente, projeto, centrocusto); apenas 10 recursos têm pelo menos uma e 538 não têm nenhuma.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Propriedade — </w:t>
      </w:r>
      <w:r>
        <w:t xml:space="preserve">70 dos 77 resource groups (90,9%) não têm proprietário direto atribuído, dificultando a responsabilização e a gestão do ciclo de vida.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Inteligência Artificial — </w:t>
      </w:r>
      <w:r>
        <w:t xml:space="preserve">dos 18 recursos de IA, apenas 2 estão conformes, 14 têm rede pública exposta, 6 apresentam incoerência entre ambiente no nome e subscrição, e 4 mantêm nomes auto-gerados pelo Foundry.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Subscrições — </w:t>
      </w:r>
      <w:r>
        <w:t xml:space="preserve">três subscrições do tenant partilham o nome predefinido de Enterprise Agreement «Microsoft Azure Enterprise»; uma está vazia e nenhuma foi renomeada ou tem owner (ver 3.4).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Remediação — </w:t>
      </w:r>
      <w:r>
        <w:t xml:space="preserve">o inventário de IA gerou 54 ações de remediação (10 de prioridade Alta e 44 Média), abrangendo nomes, tags, segurança de rede e coerência ambiente/subscrição.</w:t>
      </w:r>
    </w:p>
    <w:p>
      <w:r>
        <w:br w:type="page"/>
      </w:r>
    </w:p>
    <w:p>
      <w:pPr>
        <w:pStyle w:val="Heading1"/>
      </w:pPr>
      <w:r>
        <w:t xml:space="preserve">2. Âmbito e Metodologia</w:t>
      </w:r>
    </w:p>
    <w:p>
      <w:pPr>
        <w:spacing w:after="120" w:line="276"/>
      </w:pPr>
      <w:r>
        <w:t xml:space="preserve">A auditoria baseou-se em extrações automáticas do estado do tenant Azure do PLANAPP, validadas contra o padrão de nomenclatura v2.0 e a lista de tags obrigatórias. Não foram alterados quaisquer recursos: o levantamento é exclusivamente de leitura.</w:t>
      </w:r>
    </w:p>
    <w:p>
      <w:pPr>
        <w:pStyle w:val="Heading2"/>
      </w:pPr>
      <w:r>
        <w:t xml:space="preserve">2.1. Fontes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do Snapshot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Inventário de recursos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548 recursos Azure com verificação de naming e tags por recurso.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05-06-2026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Conformidade de nomenclatura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276 recursos com tipo mapeado e nome não conforme.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05-06-2026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Conformidade de tags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Tags em falta por recurso (548 registos).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05-06-2026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Inventário de IA (AI Foundry)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18 recursos de IA, com naming, tags, rede e coerência.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26-05-2026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Deployments de IA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69 deployments de modelos por conta de IA.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26-05-2026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Remediação de IA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54 ações priorizadas (Alta/Média).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26-05-2026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Proprietários de RG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77 resource groups e respetivos owners.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24-03-2026</w:t>
            </w:r>
          </w:p>
        </w:tc>
      </w:tr>
    </w:tbl>
    <w:p>
      <w:pPr>
        <w:pStyle w:val="Heading2"/>
      </w:pPr>
      <w:r>
        <w:t xml:space="preserve">2.2. Critérios de Conformidade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Nomenclatura: </w:t>
      </w:r>
      <w:r>
        <w:t xml:space="preserve">nome conforme o padrão v2.0 </w:t>
      </w:r>
      <w:r>
        <w:rPr>
          <w:rFonts w:ascii="Consolas" w:cs="Consolas" w:eastAsia="Consolas" w:hAnsi="Consolas"/>
          <w:sz w:val="18"/>
          <w:szCs w:val="18"/>
        </w:rPr>
        <w:t xml:space="preserve">&lt;entidade&gt;-&lt;plataforma/região&gt;-&lt;ambiente&gt;-&lt;projeto&gt;-&lt;prefixoTipo&gt;&lt;NNN&gt;</w:t>
      </w:r>
      <w:r>
        <w:t xml:space="preserve">, com prefixo de tipo correto e componente de ambiente válido.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Etiquetas obrigatórias: </w:t>
      </w:r>
      <w:r>
        <w:t xml:space="preserve">presença das quatro tags </w:t>
      </w:r>
      <w:r>
        <w:rPr>
          <w:rFonts w:ascii="Consolas" w:cs="Consolas" w:eastAsia="Consolas" w:hAnsi="Consolas"/>
          <w:sz w:val="18"/>
          <w:szCs w:val="18"/>
        </w:rPr>
        <w:t xml:space="preserve">equipa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ambiente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projeto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centrocusto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Propriedade: </w:t>
      </w:r>
      <w:r>
        <w:t xml:space="preserve">existência de pelo menos um owner direto (utilizador ou grupo) no resource group.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Segurança de IA: </w:t>
      </w:r>
      <w:r>
        <w:t xml:space="preserve">avaliação de acesso de rede pública (publicNetworkAccess) e de coerência entre o ambiente indicado no nome e a subscrição.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Limitações: os snapshots têm datas distintas (março, maio e junho de 2026); pequenas variações podem existir entre extrações. A análise cobre recursos Azure — não inclui objetos exclusivos de Microsoft 365, Power Platform ou Fabric fora do plano Azure.</w:t>
      </w:r>
    </w:p>
    <w:p>
      <w:r>
        <w:br w:type="page"/>
      </w:r>
    </w:p>
    <w:p>
      <w:pPr>
        <w:pStyle w:val="Heading1"/>
      </w:pPr>
      <w:r>
        <w:t xml:space="preserve">3. Conformidade de Nomenclatura</w:t>
      </w:r>
    </w:p>
    <w:p>
      <w:pPr>
        <w:spacing w:after="120" w:line="276"/>
      </w:pPr>
      <w:r>
        <w:t xml:space="preserve">Apenas </w:t>
      </w:r>
      <w:r>
        <w:rPr>
          <w:b/>
          <w:bCs/>
        </w:rPr>
        <w:t xml:space="preserve">37 dos 548 recursos (6,8%)</w:t>
      </w:r>
      <w:r>
        <w:t xml:space="preserve"> cumprem o padrão de nomenclatura. Os restantes </w:t>
      </w:r>
      <w:r>
        <w:rPr>
          <w:b/>
          <w:bCs/>
        </w:rPr>
        <w:t xml:space="preserve">511 (93,2%)</w:t>
      </w:r>
      <w:r>
        <w:t xml:space="preserve"> não conformam, repartidos em duas categorias: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276 recursos </w:t>
      </w:r>
      <w:r>
        <w:t xml:space="preserve">são de tipos já mapeados na política, mas têm nome fora do padrão (ex.: falta de prefixo, ausência de componente de ambiente, uso de maiúsculas).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235 recursos </w:t>
      </w:r>
      <w:r>
        <w:t xml:space="preserve">são de tipos ainda sem prefixo definido na política v2.0 (ex.: ligações de DNS privado, certificados, extensões de VM), pelo que requerem extensão do catálogo de prefixos.</w:t>
      </w:r>
    </w:p>
    <w:p>
      <w:pPr>
        <w:pStyle w:val="Heading2"/>
      </w:pPr>
      <w:r>
        <w:t xml:space="preserve">3.1. Conformidade por Subscrição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00"/>
        <w:gridCol w:w="1900"/>
        <w:gridCol w:w="18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Subscrição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Conformes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Conforme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PlanApp-prd-sub001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PlanApp-nprd-sub001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PlanApp-hub-sub001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PlanAPP-AZURE-TEMP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PlanAPP-fabric-sub001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33%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Microsoft Azure Enterprise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PlanApp-365-backup-001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A não conformidade é transversal: nenhuma subscrição ultrapassa 8% de conformidade nas subscrições principais (prd, nprd, hub), que concentram 539 dos 548 recursos.</w:t>
      </w:r>
    </w:p>
    <w:p>
      <w:pPr>
        <w:pStyle w:val="Heading2"/>
      </w:pPr>
      <w:r>
        <w:t xml:space="preserve">3.2. Tipos de Recurso com Mais Não Conformidades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200"/>
        <w:gridCol w:w="2400"/>
      </w:tblGrid>
      <w:tr>
        <w:trPr>
          <w:tblHeader/>
        </w:trP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Recurso (Azure)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Prefixo v2.0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 Não Conforme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privatednszones/virtualnetworklinks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(por mapear)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privatednszones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dnspr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storage/storageaccounts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virtualnetworks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vnet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web/certificates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(por mapear)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operationalinsights/workspaces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web/sites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networkinterfaces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publicipaddresses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cognitiveservices/accounts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compute/disks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dbformysql/flexibleservers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(por mapear)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network/routetables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app/containerapps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3.3. Storage Accounts</w:t>
      </w:r>
    </w:p>
    <w:p>
      <w:pPr>
        <w:spacing w:after="120" w:line="276"/>
      </w:pPr>
      <w:r>
        <w:t xml:space="preserve">Das </w:t>
      </w:r>
      <w:r>
        <w:rPr>
          <w:b/>
          <w:bCs/>
        </w:rPr>
        <w:t xml:space="preserve">29 storage accounts</w:t>
      </w:r>
      <w:r>
        <w:t xml:space="preserve">, </w:t>
      </w:r>
      <w:r>
        <w:rPr>
          <w:b/>
          <w:bCs/>
        </w:rPr>
        <w:t xml:space="preserve">27 (93%)</w:t>
      </w:r>
      <w:r>
        <w:t xml:space="preserve"> não cumprem a regra específica deste tipo de recurso, que exige nome iniciado por </w:t>
      </w:r>
      <w:r>
        <w:rPr>
          <w:rFonts w:ascii="Consolas" w:cs="Consolas" w:eastAsia="Consolas" w:hAnsi="Consolas"/>
          <w:sz w:val="18"/>
          <w:szCs w:val="18"/>
        </w:rPr>
        <w:t xml:space="preserve">st</w:t>
      </w:r>
      <w:r>
        <w:t xml:space="preserve">, apenas com minúsculas e dígitos, sem hífens e com máximo de 24 caracteres. Exemplos atuais incluem </w:t>
      </w:r>
      <w:r>
        <w:rPr>
          <w:rFonts w:ascii="Consolas" w:cs="Consolas" w:eastAsia="Consolas" w:hAnsi="Consolas"/>
          <w:sz w:val="18"/>
          <w:szCs w:val="18"/>
        </w:rPr>
        <w:t xml:space="preserve">foresighstgprd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plaweprddataspheresa001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portalplan1ada35a364</w:t>
      </w:r>
      <w:r>
        <w:t xml:space="preserve">.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Recomendação: como os storage accounts não podem ser renomeados, a regularização implica recriação com migração de dados — a planear por janela de manutenção e por ordem de criticidade.</w:t>
      </w:r>
    </w:p>
    <w:p>
      <w:r>
        <w:br w:type="page"/>
      </w:r>
    </w:p>
    <w:p>
      <w:pPr>
        <w:pStyle w:val="Heading2"/>
      </w:pPr>
      <w:r>
        <w:t xml:space="preserve">3.4. Subscrições com Nome Predefinido (Enterprise Agreement)</w:t>
      </w:r>
    </w:p>
    <w:p>
      <w:pPr>
        <w:spacing w:after="120" w:line="276"/>
      </w:pPr>
      <w:r>
        <w:t xml:space="preserve">O tenant PLANAPP tem 9 subscrições. Três partilham exatamente o mesmo nome — </w:t>
      </w:r>
      <w:r>
        <w:rPr>
          <w:b/>
          <w:bCs/>
        </w:rPr>
        <w:t xml:space="preserve">«Microsoft Azure Enterprise»</w:t>
      </w:r>
      <w:r>
        <w:t xml:space="preserve"> — distinguíveis apenas pelo respetivo identificador (GUID). Este é o </w:t>
      </w:r>
      <w:r>
        <w:rPr>
          <w:b/>
          <w:bCs/>
        </w:rPr>
        <w:t xml:space="preserve">nome predefinido</w:t>
      </w:r>
      <w:r>
        <w:t xml:space="preserve"> atribuído pelo Azure às subscrições criadas sob um Enterprise Agreement (EA) que nunca foram renomeadas.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Subscription ID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1beacf55-…-fedf91e8eced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Apenas recursos auto-gerados: Cloud Shell storage, DefaultResourceGroup-NEU, conta Purview.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Por renomear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284978b3-…-b815bd30ecca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Apenas Cloud Shell storage.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Por renomear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e27f13c7-…-0dad1f056149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Sem qualquer recurso — não surge no inventário.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Vazia</w:t>
            </w:r>
          </w:p>
        </w:tc>
      </w:tr>
    </w:tbl>
    <w:p>
      <w:pPr>
        <w:spacing w:after="120" w:line="276"/>
      </w:pPr>
      <w:r>
        <w:t xml:space="preserve">Nenhuma das três tem cargas de trabalho próprias, o que indica subscrições EA «esquecidas», nunca integradas no esquema de nomenclatura do PLANAPP. A subscrição vazia é candidata a cancelamento; as restantes devem ser renomeadas e avaliadas quanto à utilidade dos artefactos default.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Nota de âmbito: a listagem de subscrições inclui ainda três subscrições («Azure-CRC-Bare-Metal», «HNLI-DEV», «Power Automate R&amp;D Testing») pertencentes a um tenant distinto («Microsoft»), acessíveis por permissões cruzadas. Não fazem parte do tenant PLANAPP e estão fora do âmbito desta auditoria.</w:t>
      </w:r>
    </w:p>
    <w:p>
      <w:pPr>
        <w:spacing w:after="120" w:line="276"/>
      </w:pPr>
      <w:r>
        <w:rPr>
          <w:b/>
          <w:bCs/>
        </w:rPr>
        <w:t xml:space="preserve">Recomendações: </w:t>
      </w:r>
      <w:r>
        <w:t xml:space="preserve">(1) renomear as três subscrições EA segundo a política; (2) atribuir um owner a cada uma (estão todas sem proprietário direto); (3) cancelar a subscrição vazia se não houver utilização reclamada; (4) consolidar/desativar os artefactos default remanescentes.</w:t>
      </w:r>
    </w:p>
    <w:p>
      <w:r>
        <w:br w:type="page"/>
      </w:r>
    </w:p>
    <w:p>
      <w:pPr>
        <w:pStyle w:val="Heading1"/>
      </w:pPr>
      <w:r>
        <w:t xml:space="preserve">4. Conformidade de Etiquetas (Tags)</w:t>
      </w:r>
    </w:p>
    <w:p>
      <w:pPr>
        <w:spacing w:after="120" w:line="276"/>
      </w:pPr>
      <w:r>
        <w:rPr>
          <w:b/>
          <w:bCs/>
        </w:rPr>
        <w:t xml:space="preserve">Nenhum dos 548 recursos</w:t>
      </w:r>
      <w:r>
        <w:t xml:space="preserve"> possui as quatro etiquetas obrigatórias definidas pela política (</w:t>
      </w:r>
      <w:r>
        <w:rPr>
          <w:rFonts w:ascii="Consolas" w:cs="Consolas" w:eastAsia="Consolas" w:hAnsi="Consolas"/>
          <w:sz w:val="18"/>
          <w:szCs w:val="18"/>
        </w:rPr>
        <w:t xml:space="preserve">equipa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ambiente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projeto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centrocusto</w:t>
      </w:r>
      <w:r>
        <w:t xml:space="preserve">). Apenas 10 recursos têm pelo menos uma destas tags e 538 não têm nenhuma.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Com as 4 tags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B26A00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Com 1 a 3 tags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538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Sem qualquer tag obrigatória</w:t>
            </w:r>
          </w:p>
        </w:tc>
      </w:tr>
    </w:tbl>
    <w:p>
      <w:pPr>
        <w:spacing w:after="120" w:line="276"/>
      </w:pPr>
      <w:r>
        <w:t xml:space="preserve">Em muitos recursos existem tags alternativas (ex.: «Subscription», «Environment», «Owner», «Project»), mas não correspondem às chaves canónicas exigidas pela política, pelo que não são contabilizadas como conformes. Esta divergência de chaves é, em si, um problema de normalização a resolver.</w:t>
      </w:r>
    </w:p>
    <w:p>
      <w:pPr>
        <w:pStyle w:val="Heading2"/>
      </w:pPr>
      <w:r>
        <w:t xml:space="preserve">4.1. Impacto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Faturação e FinOps: sem «centrocusto» e «projeto» consistentes, a imputação de custos por área/iniciativa fica comprometida.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Governação: sem «equipa» e «ambiente», a automação de políticas e relatórios por contexto é inviável.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Ciclo de vida: a ausência de metadados dificulta a identificação de recursos órfãos ou temporários para desativação.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Recomendação: aplicar Azure Policy com efeito «Modify»/«Append» para herdar tags do resource group e «Deny» para impedir a criação sem as tags obrigatórias, acompanhada de uma campanha de etiquetagem retroativa.</w:t>
      </w:r>
    </w:p>
    <w:p>
      <w:r>
        <w:br w:type="page"/>
      </w:r>
    </w:p>
    <w:p>
      <w:pPr>
        <w:pStyle w:val="Heading1"/>
      </w:pPr>
      <w:r>
        <w:t xml:space="preserve">5. Propriedade dos Resource Groups</w:t>
      </w:r>
    </w:p>
    <w:p>
      <w:pPr>
        <w:spacing w:after="120" w:line="276"/>
      </w:pPr>
      <w:r>
        <w:rPr>
          <w:b/>
          <w:bCs/>
        </w:rPr>
        <w:t xml:space="preserve">70 dos 77 resource groups (90,9%)</w:t>
      </w:r>
      <w:r>
        <w:t xml:space="preserve"> não têm proprietário direto atribuído (assinalados como «SEM OWNER DIRETO»). Apenas 7 têm owner identificado, listados abaixo.</w:t>
      </w:r>
    </w:p>
    <w:p>
      <w:pPr>
        <w:pStyle w:val="Heading2"/>
      </w:pPr>
      <w:r>
        <w:t xml:space="preserve">5.1. Resource Groups com Proprietário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800"/>
        <w:gridCol w:w="18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Proprietário(s)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pla-we-dev-adse-rg001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Luís Santos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pla-we-nprd-inalab-rg001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Tiago Louro; Henrique Pereira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Utilizadores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pla-we-nprd-naelabs-rg001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Tiago Louro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pla-we-prd-finopshub-rg001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Helena Gomes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pla-we-prd-foresigh-rg001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Carlos Martins Ferreira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Pla-rg-HackaPLANAPP-001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Nelson Neves; PLANAPP-Hacka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Utilizador + Grupo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pla-we-prd-data-dbw-rg002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Databricks Resource Provider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Service Principal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Recomendação: atribuir um responsável (owner) a cada resource group — preferencialmente um grupo de segurança por equipa/projeto em vez de utilizadores individuais — para assegurar continuidade e responsabilização.</w:t>
      </w:r>
    </w:p>
    <w:p>
      <w:r>
        <w:br w:type="page"/>
      </w:r>
    </w:p>
    <w:p>
      <w:pPr>
        <w:pStyle w:val="Heading1"/>
      </w:pPr>
      <w:r>
        <w:t xml:space="preserve">6. Recursos de Inteligência Artificial (Azure AI Foundry)</w:t>
      </w:r>
    </w:p>
    <w:p>
      <w:pPr>
        <w:spacing w:after="120" w:line="276"/>
      </w:pPr>
      <w:r>
        <w:t xml:space="preserve">O inventário específico de IA identificou </w:t>
      </w:r>
      <w:r>
        <w:rPr>
          <w:b/>
          <w:bCs/>
        </w:rPr>
        <w:t xml:space="preserve">18 recursos</w:t>
      </w:r>
      <w:r>
        <w:t xml:space="preserve"> (contas de Cognitive Services / OpenAI / AI Services e workspaces de Machine Learning) e </w:t>
      </w:r>
      <w:r>
        <w:rPr>
          <w:b/>
          <w:bCs/>
        </w:rPr>
        <w:t xml:space="preserve">69 deployments</w:t>
      </w:r>
      <w:r>
        <w:t xml:space="preserve"> de modelos. O estado de conformidade e de segurança é particularmente crítico neste domínio.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18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Recursos de 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Conformes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Rede exposta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B26A00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Conflito amb./sub.</w:t>
            </w:r>
          </w:p>
        </w:tc>
      </w:tr>
    </w:tbl>
    <w:p>
      <w:pPr>
        <w:pStyle w:val="Heading2"/>
      </w:pPr>
      <w:r>
        <w:t xml:space="preserve">6.1. Incoerências Ambiente/Subscrição</w:t>
      </w:r>
    </w:p>
    <w:p>
      <w:pPr>
        <w:spacing w:after="120" w:line="276"/>
      </w:pPr>
      <w:r>
        <w:t xml:space="preserve">Seis recursos de IA têm um ambiente indicado no nome que não corresponde à subscrição onde residem — risco de confusão operacional e de aplicação de controlos errados.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Resource Group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Incoerência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pla-swc-hub-001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GPT-npr-0001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'hub'; subscrição é 'nprd'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dev-ai-nrpd-001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GPT-npr-0001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'dev'; subscrição é 'nprd'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dev-ai-nprd-002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GPT-npr-0001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'dev'; subscrição é 'nprd'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dev-ai-nrpd-ag001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pla-we-nprd-agents-rg001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'dev'; subscrição é 'nprd'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ml-dev-001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pla-we-nprd-ml-001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'dev'; subscrição é 'prd'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gpt-utail-nprd-001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GTP-npr-0001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indica 'nprd'; subscrição é 'prd'</w:t>
            </w:r>
          </w:p>
        </w:tc>
      </w:tr>
    </w:tbl>
    <w:p>
      <w:pPr>
        <w:pStyle w:val="Heading2"/>
      </w:pPr>
      <w:r>
        <w:t xml:space="preserve">6.2. Nomes Auto-gerados pelo Foundry</w:t>
      </w:r>
    </w:p>
    <w:p>
      <w:pPr>
        <w:spacing w:after="120" w:line="276"/>
      </w:pPr>
      <w:r>
        <w:t xml:space="preserve">Quatro recursos mantêm nomes auto-gerados (padrão </w:t>
      </w:r>
      <w:r>
        <w:rPr>
          <w:rFonts w:ascii="Consolas" w:cs="Consolas" w:eastAsia="Consolas" w:hAnsi="Consolas"/>
          <w:sz w:val="18"/>
          <w:szCs w:val="18"/>
        </w:rPr>
        <w:t xml:space="preserve">pessoa-hash-região</w:t>
      </w:r>
      <w:r>
        <w:t xml:space="preserve">), que não podem ser renomeados e exigem recriação. A tabela mostra exemplos e o nome sugerido segundo o padrão.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 Atual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 Sugerido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henri-m8e841o1-swedencentral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pla-sc-nprd-&lt;projeto&gt;-ais01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tiago-mmjaibi7-swedencentral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pla-sc-nprd-&lt;projeto&gt;-ais01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carlo-mh3hy4t3-swedencentral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pla-sc-prd-&lt;projeto&gt;-ais01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henri-mi00egnr-norwayeast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pla-no-nprd-&lt;projeto&gt;-ais01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foresigh-openai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pla-we-prd-&lt;projeto&gt;-aoai01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gpt-utail-nprd-001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pla-we-prd-&lt;projeto&gt;-aoai01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6.3. Deployments de Modelos por Fornecedor</w:t>
      </w:r>
    </w:p>
    <w:p>
      <w:pPr>
        <w:spacing w:after="120" w:line="276"/>
      </w:pPr>
      <w:r>
        <w:t xml:space="preserve">Os 69 deployments de modelos distribuem-se por quatro fornecedores, com predomínio claro de modelos OpenAI.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Fornecedor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 Deployments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OpenAI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Anthropic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DeepSeek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Mistral AI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Risco de segurança: 14 dos 18 recursos de IA (78%) têm acesso de rede pública ativo. Recomenda-se, em produção, a configuração de Private Endpoints e a desativação do acesso público; em não-produção, a restrição a IPs específicos.</w:t>
      </w:r>
    </w:p>
    <w:p>
      <w:r>
        <w:br w:type="page"/>
      </w:r>
    </w:p>
    <w:p>
      <w:pPr>
        <w:pStyle w:val="Heading1"/>
      </w:pPr>
      <w:r>
        <w:t xml:space="preserve">7. Plano de Remediação Priorizado</w:t>
      </w:r>
    </w:p>
    <w:p>
      <w:pPr>
        <w:spacing w:after="120" w:line="276"/>
      </w:pPr>
      <w:r>
        <w:t xml:space="preserve">O inventário de IA gerou 54 ações de remediação, classificadas por prioridade. A tabela resume a distribuição por tipo de problema. As ações de prioridade Alta concentram-se nas incoerências ambiente/subscrição e nos nomes não conformes que requerem recriação.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54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Ações totais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Prioridade Alta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B26A00"/>
                <w:sz w:val="40"/>
                <w:szCs w:val="40"/>
              </w:rPr>
              <w:t xml:space="preserve">44</w:t>
            </w:r>
          </w:p>
          <w:p>
            <w:pPr>
              <w:jc w:val="center"/>
            </w:pPr>
            <w:r>
              <w:rPr>
                <w:color w:val="404040"/>
                <w:sz w:val="15"/>
                <w:szCs w:val="15"/>
              </w:rPr>
              <w:t xml:space="preserve">Prioridade Média</w:t>
            </w:r>
          </w:p>
        </w:tc>
      </w:tr>
    </w:tbl>
    <w:p>
      <w:pPr>
        <w:pStyle w:val="Heading2"/>
      </w:pPr>
      <w:r>
        <w:t xml:space="preserve">7.1. Ações por Tipo de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Problema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Nº Ações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Ação Recomendada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Tags obrigatórias ausentes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Aplicar as 4 tags via Portal/CLI ou herança por Azure Policy.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Nomenclatura não conforme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Renomear ou recriar (recursos auto-gerados) segundo o padrão v2.0.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Acesso público à rede ativo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Configurar Private Endpoint e restringir/desativar acesso público.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Incoerência ambiente/subscrição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Verificar e, se aplicável, mover o recurso para a subscrição correta.</w:t>
            </w:r>
          </w:p>
        </w:tc>
      </w:tr>
    </w:tbl>
    <w:p>
      <w:pPr>
        <w:pStyle w:val="Heading2"/>
      </w:pPr>
      <w:r>
        <w:t xml:space="preserve">7.2. Sequência Recomendada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Resolver as 6 incoerências ambiente/subscrição (Alta) — evitam erros operacionais e de segurança.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Recriar os recursos de IA com nomes auto-gerados, aplicando já tags e Private Endpoints.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Lançar campanha de etiquetagem retroativa, começando pelas subscrições prd e hub.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Mapear na política os tipos ainda sem prefixo (235 recursos) e atualizar o catálogo de prefixos.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Planear a recriação faseada das 27 storage accounts não conformes, por criticidade.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Atribuir owners (grupos de segurança) aos 70 resource groups sem proprietário.</w:t>
      </w:r>
    </w:p>
    <w:p>
      <w:r>
        <w:br w:type="page"/>
      </w:r>
    </w:p>
    <w:p>
      <w:pPr>
        <w:pStyle w:val="Heading1"/>
      </w:pPr>
      <w:r>
        <w:t xml:space="preserve">8. Recomendações e Próximos Passos</w:t>
      </w:r>
    </w:p>
    <w:p>
      <w:pPr>
        <w:pStyle w:val="Heading2"/>
      </w:pPr>
      <w:r>
        <w:t xml:space="preserve">8.1. Imposição Técnica (Enforcement)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Azure Policy — naming: </w:t>
      </w:r>
      <w:r>
        <w:t xml:space="preserve">políticas com efeito «Deny» para bloquear a criação de recursos com nomes fora do padrão nos tipos já mapeados.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Azure Policy — tags: </w:t>
      </w:r>
      <w:r>
        <w:t xml:space="preserve">efeito «Modify»/«Append» para herdar tags do resource group e «Deny» quando faltem as obrigatórias.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Owners por grupo: </w:t>
      </w:r>
      <w:r>
        <w:t xml:space="preserve">normalizar a atribuição de proprietários via grupos de segurança do Entra ID, integrados no processo de criação de RG.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Segurança de IA: </w:t>
      </w:r>
      <w:r>
        <w:t xml:space="preserve">baseline de Private Endpoints e desativação de acesso público em produção, monitorizada por política.</w:t>
      </w:r>
    </w:p>
    <w:p>
      <w:pPr>
        <w:pStyle w:val="Heading2"/>
      </w:pPr>
      <w:r>
        <w:t xml:space="preserve">8.2. Articulação com a Política v2.0</w:t>
      </w:r>
    </w:p>
    <w:p>
      <w:pPr>
        <w:spacing w:after="120" w:line="276"/>
      </w:pPr>
      <w:r>
        <w:t xml:space="preserve">Este diagnóstico constitui a linha de base (baseline) para a Política de Nomenclaturas v2.0. Recomenda-se medir a evolução destes indicadores trimestralmente, com a meta de elevar a conformidade de nomenclatura e atingir 100% de tags obrigatórias nos recursos de produção no prazo definido pela governação.</w:t>
      </w:r>
    </w:p>
    <w:p>
      <w:pPr>
        <w:pStyle w:val="Heading2"/>
      </w:pPr>
      <w:r>
        <w:t xml:space="preserve">8.3. Metas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Atual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(12 meses)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Nomenclatura conforme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6,8%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≥ 80%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Tags obrigatórias completas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100% em produção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RGs com owner direto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Recursos de IA com rede exposta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0 em produção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Este relatório reflete o estado do tenant nas datas dos snapshots indicadas (março a junho de 2026) e deve ser reavaliado após cada ciclo de remediação. Constitui evidência de suporte à aprovação e ao enforcement da Política de Nomenclaturas v2.0.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jc w:val="center"/>
    </w:pPr>
    <w:r>
      <w:rPr>
        <w:color w:val="808080"/>
        <w:sz w:val="16"/>
        <w:szCs w:val="16"/>
      </w:rPr>
      <w:t xml:space="preserve">Documento interno — Uso Interno      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PLANAPP · Auditoria de Conformidade · Tenant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before="24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68DDBD6BF4E44ABC0533714700D314" ma:contentTypeVersion="18" ma:contentTypeDescription="Criar um novo documento." ma:contentTypeScope="" ma:versionID="21b981f0edffd095beaf83640fed0cee">
  <xsd:schema xmlns:xsd="http://www.w3.org/2001/XMLSchema" xmlns:xs="http://www.w3.org/2001/XMLSchema" xmlns:p="http://schemas.microsoft.com/office/2006/metadata/properties" xmlns:ns2="d91c0162-9b1d-42e3-9516-badcc41fb885" xmlns:ns3="d3a75ecb-922a-40cf-8667-f82b07f02fcc" targetNamespace="http://schemas.microsoft.com/office/2006/metadata/properties" ma:root="true" ma:fieldsID="0d582ad3a90a89822d4263a8601175dd" ns2:_="" ns3:_="">
    <xsd:import namespace="d91c0162-9b1d-42e3-9516-badcc41fb885"/>
    <xsd:import namespace="d3a75ecb-922a-40cf-8667-f82b07f02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c0162-9b1d-42e3-9516-badcc41fb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1e2e9ced-e249-4d7a-b53b-558263282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75ecb-922a-40cf-8667-f82b07f02f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afd57e-80cb-4ffb-93f4-f039e6d85166}" ma:internalName="TaxCatchAll" ma:showField="CatchAllData" ma:web="d3a75ecb-922a-40cf-8667-f82b07f02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a75ecb-922a-40cf-8667-f82b07f02fcc" xsi:nil="true"/>
    <lcf76f155ced4ddcb4097134ff3c332f xmlns="d91c0162-9b1d-42e3-9516-badcc41fb8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75719A-7D77-458C-94EE-9FAAD1A939DF}"/>
</file>

<file path=customXml/itemProps2.xml><?xml version="1.0" encoding="utf-8"?>
<ds:datastoreItem xmlns:ds="http://schemas.openxmlformats.org/officeDocument/2006/customXml" ds:itemID="{BDD5D94A-DF75-44E2-A9CC-B86E430FF753}"/>
</file>

<file path=customXml/itemProps3.xml><?xml version="1.0" encoding="utf-8"?>
<ds:datastoreItem xmlns:ds="http://schemas.openxmlformats.org/officeDocument/2006/customXml" ds:itemID="{C3226EDE-854A-42A7-A7E5-734F5FDAD0D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Auditoria de Conformidade — Tenant PLANAPP</dc:title>
  <dc:creator>PLANAPP — Equipa GSI</dc:creator>
  <dc:description>Diagnóstico de nomenclatura, tags, propriedade e recursos de IA do tenant Azure do PLANAPP</dc:description>
  <cp:lastModifiedBy>Un-named</cp:lastModifiedBy>
  <cp:revision>1</cp:revision>
  <dcterms:created xsi:type="dcterms:W3CDTF">2026-06-06T08:37:12Z</dcterms:created>
  <dcterms:modified xsi:type="dcterms:W3CDTF">2026-06-06T08:37:12Z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0x0101005E68DDBD6BF4E44ABC0533714700D314</vt:lpwstr>
  </property>
</Properties>
</file>