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033E7C">
      <w:pPr>
        <w:pStyle w:val="876"/>
        <w:pBdr/>
        <w:spacing/>
        <w:ind/>
        <w:jc w:val="center"/>
        <w:rPr>
          <w:rFonts w:ascii="Arial" w:hAnsi="Arial" w:cs="Arial"/>
          <w:color w:val="000000" w:themeColor="text1"/>
          <w:sz w:val="32"/>
          <w:szCs w:val="32"/>
          <w:highlight w:val="none"/>
        </w:rPr>
      </w:pPr>
      <w:r>
        <w:rPr>
          <w:rFonts w:ascii="Arial" w:hAnsi="Arial" w:eastAsia="Arial" w:cs="Arial"/>
          <w:color w:val="000000" w:themeColor="text1"/>
          <w:sz w:val="32"/>
          <w:szCs w:val="32"/>
          <w:highlight w:val="none"/>
          <w:lang w:val="es-ES"/>
        </w:rPr>
        <w:t xml:space="preserve">Documentación: Trato</w:t>
      </w:r>
      <w:r>
        <w:rPr>
          <w:rFonts w:ascii="Arial" w:hAnsi="Arial" w:eastAsia="Arial" w:cs="Arial"/>
          <w:color w:val="000000" w:themeColor="text1"/>
          <w:sz w:val="32"/>
          <w:szCs w:val="32"/>
          <w:highlight w:val="none"/>
        </w:rPr>
      </w:r>
      <w:r>
        <w:rPr>
          <w:rFonts w:ascii="Arial" w:hAnsi="Arial" w:cs="Arial"/>
          <w:color w:val="000000" w:themeColor="text1"/>
          <w:sz w:val="32"/>
          <w:szCs w:val="32"/>
          <w:highlight w:val="none"/>
        </w:rPr>
      </w:r>
    </w:p>
    <w:p w14:paraId="0AB63CCC">
      <w:pPr>
        <w:pBdr/>
        <w:spacing/>
        <w:ind/>
        <w:rPr/>
      </w:pPr>
      <w:r>
        <w:rPr>
          <w:rFonts w:ascii="Arial" w:hAnsi="Arial" w:eastAsia="Arial" w:cs="Arial"/>
          <w:color w:val="000000" w:themeColor="text1"/>
          <w:sz w:val="32"/>
          <w:szCs w:val="32"/>
          <w:highlight w:val="none"/>
        </w:rPr>
      </w:r>
      <w:r>
        <w:rPr>
          <w:rFonts w:ascii="Arial" w:hAnsi="Arial" w:cs="Arial"/>
          <w:color w:val="000000" w:themeColor="text1"/>
          <w:sz w:val="32"/>
          <w:szCs w:val="32"/>
          <w:highlight w:val="none"/>
        </w:rPr>
      </w:r>
      <w:r/>
    </w:p>
    <w:p w14:paraId="2FB1CF79">
      <w:pPr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Estudiantes: 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07994A86">
      <w:pPr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Luis Eduardo Sinisterra Montaño</w:t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6B5CBF8C">
      <w:pPr>
        <w:pBdr/>
        <w:spacing/>
        <w:ind/>
        <w:jc w:val="center"/>
        <w:rPr>
          <w:b/>
          <w:bCs/>
          <w:sz w:val="18"/>
          <w:szCs w:val="18"/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  <w:lang w:val="es-ES"/>
        </w:rPr>
        <w:t xml:space="preserve">Alejandro Ballesteros Cabezas</w:t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  <w:lang w:val="es-ES"/>
        </w:rPr>
      </w: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:highlight w:val="none"/>
          <w:lang w:val="es-ES"/>
        </w:rPr>
      </w:r>
    </w:p>
    <w:p w14:paraId="200053B7">
      <w:pPr>
        <w:pStyle w:val="876"/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1. DESCRIPCIÓN GENERAL DEL PROYECTO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6B07F2CA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</w:rPr>
      </w:r>
    </w:p>
    <w:p w14:paraId="0C2D2719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lang w:val="es-ES"/>
        </w:rPr>
        <w:t xml:space="preserve">Trato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 es una plataforma digital de subastas de alto rendimiento diseñada para permitir que los usuarios publiquen productos y parti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cipen en procesos de puja en tiempo real. El sistema garantiza la competencia justa mediante ofertas crecientes dentro de un marco de tiempo predefinido, automatizando el cierre de procesos y la determinación de ganadores bajo reglas de integridad técnica.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85390C8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Objetivo General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1E329D9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</w:rPr>
      </w:r>
    </w:p>
    <w:p w14:paraId="0DE34A93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Desarrollar una infraestructura distribuida basada en microservicios que soporte la gestión de subastas digitales masivas, asegurando una experiencia fluida, baja latencia en pujas y un control estricto de los estados de cada artículo.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AC354FE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Objetivos Específicos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4E3387C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</w:rPr>
      </w:r>
    </w:p>
    <w:p w14:paraId="603CE0AE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Implementar un sistema robusto de autenticación y gestión de usuarios.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D9FC9CE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Proveer herramientas para la publicación y consulta exhaustiva de productos.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BBC648C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Controlar el ciclo de vida completo de las subastas (Creación, Activación, Finalización).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C20DC74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Validar y registrar transacciones de pujas en tiempo real bajo un modelo distribuido.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C2825F7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Automatizar la selección de ganadores y el procesamiento simulado de pagos.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0BD5FE1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Generar analítica e historial de actividad para auditoría y reportes.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01E3119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Desplegar una arquitectura de notificaciones reactiva basada en eventos.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F835FFE">
      <w:pPr>
        <w:pStyle w:val="87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2. REQUISITOS FUNCIONALES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125047D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Gestión de Usuarios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B4C314B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Registro de nuevos usuarios.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03F39F4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Inicio de sesión seguro.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586EADD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Administración de perfil de usuario.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0FE1BAA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Gestión de Productos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66A8BBC7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Creación y edición de catálogos de productos.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731B1A2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Búsqueda y filtrado de artículos disponibles.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51A1B49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Gestión de Subastas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66EE768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Configuración de subastas con precio base y cronómetro.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A829DB3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Monitoreo de estados (ACTIVA, FINALIZADA, CANCELADA).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91FD16B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Gestión de Pujas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620DE40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Registro de ofertas competitivas.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3E59B267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Validación automática de pujas.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500E1BA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Persistencia del historial cronológico de ofertas.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5ED8A7D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Finalización y Pagos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0239641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Cierre automático por expiración de tiempo.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FCA7914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Cálculo y asignación del ganador.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441D4237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Procesamiento y registro de pagos (Simulado).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79F56D84">
      <w:pPr>
        <w:pStyle w:val="877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Reportes y Notificaciones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E7B4367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Historial detallado de participación y resultados.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0D2E8DF5">
      <w:pPr>
        <w:pStyle w:val="90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Notificaciones en tiempo real para pujas superadas y cierres.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5AA7F2B3">
      <w:pPr>
        <w:pStyle w:val="87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3. DIAGRAMA DE MICROSERVICIOS</w: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22F22826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49F32DD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8600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43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1860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146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</w:rPr>
      </w:r>
    </w:p>
    <w:p w14:paraId="4CF7F600">
      <w:pPr>
        <w:pStyle w:val="876"/>
        <w:pBdr/>
        <w:spacing/>
        <w:ind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4. MODELO RELACIONAL DE CADA MICROSERVICIO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</w:p>
    <w:p w14:paraId="1F514DC3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3A2F3ECD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es-ES"/>
        </w:rPr>
        <w:t xml:space="preserve">Payment Service:</w:t>
      </w:r>
      <w:r>
        <w:rPr>
          <w:rFonts w:ascii="Arial" w:hAnsi="Arial" w:eastAsia="Arial" w:cs="Arial"/>
        </w:rPr>
      </w:r>
    </w:p>
    <w:p w14:paraId="545EE96D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8172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6195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933824" cy="817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9.75pt;height:643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7575E29B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es-ES"/>
        </w:rPr>
        <w:t xml:space="preserve">Bid Service: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BFEE57C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74580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037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33824" cy="7458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9.75pt;height:58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6496B48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es-ES"/>
        </w:rPr>
        <w:t xml:space="preserve">Report Service: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3AD2ED22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71875" cy="65055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948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71875" cy="6505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1.25pt;height:512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096CBC83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es-ES"/>
        </w:rPr>
        <w:t xml:space="preserve">Product Service: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2D27527B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74580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8547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33824" cy="7458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9.75pt;height:587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4C6491E1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es-ES"/>
        </w:rPr>
        <w:t xml:space="preserve">Auction Service: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44FB47FF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88868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4024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933824" cy="8886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09.75pt;height:699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653E553A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es-ES"/>
        </w:rPr>
        <w:t xml:space="preserve">User Service: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32CCEC03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7096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802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33824" cy="7096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09.75pt;height:558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029F3AC9">
      <w:pPr>
        <w:pBdr/>
        <w:spacing/>
        <w:ind/>
        <w:rPr>
          <w:rFonts w:ascii="Arial" w:hAnsi="Arial" w:cs="Arial"/>
          <w:color w:val="000000" w:themeColor="text1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  <w:lang w:val="es-ES"/>
        </w:rPr>
        <w:t xml:space="preserve">Auth Service:</w: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p w14:paraId="5549F934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67437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041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933824" cy="6743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9.75pt;height:531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  <w:r>
        <w:rPr>
          <w:rFonts w:ascii="Arial" w:hAnsi="Arial" w:eastAsia="Arial" w:cs="Arial"/>
          <w:color w:val="000000" w:themeColor="text1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2026-04-18T18:22:36Z</dcterms:modified>
  <cp:category/>
</cp:coreProperties>
</file>