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6033E7C">
      <w:pPr>
        <w:pStyle w:val="693"/>
        <w:pBdr/>
        <w:spacing/>
        <w:ind/>
        <w:jc w:val="center"/>
        <w:rPr>
          <w:rFonts w:ascii="Arial" w:hAnsi="Arial" w:eastAsia="Arial" w:cs="Arial"/>
          <w:color w:val="000000" w:themeColor="text1"/>
          <w:sz w:val="32"/>
          <w:szCs w:val="32"/>
          <w:highlight w:val="none"/>
        </w:rPr>
      </w:pPr>
      <w:r>
        <w:rPr>
          <w:rFonts w:ascii="Arial" w:hAnsi="Arial" w:eastAsia="Arial" w:cs="Arial"/>
          <w:color w:val="000000" w:themeColor="text1"/>
          <w:sz w:val="32"/>
          <w:szCs w:val="32"/>
          <w:highlight w:val="none"/>
          <w:lang w:val="es-ES"/>
        </w:rPr>
        <w:t xml:space="preserve">Documentación: Trato</w:t>
      </w:r>
      <w:r>
        <w:rPr>
          <w:rFonts w:ascii="Arial" w:hAnsi="Arial" w:eastAsia="Arial" w:cs="Arial"/>
          <w:color w:val="000000" w:themeColor="text1"/>
          <w:sz w:val="32"/>
          <w:szCs w:val="32"/>
          <w:highlight w:val="none"/>
        </w:rPr>
      </w:r>
      <w:r>
        <w:rPr>
          <w:rFonts w:ascii="Arial" w:hAnsi="Arial" w:eastAsia="Arial" w:cs="Arial"/>
          <w:color w:val="000000" w:themeColor="text1"/>
          <w:sz w:val="32"/>
          <w:szCs w:val="32"/>
          <w:highlight w:val="none"/>
        </w:rPr>
      </w:r>
    </w:p>
    <w:p w14:paraId="200053B7">
      <w:pPr>
        <w:pStyle w:val="693"/>
        <w:pBdr/>
        <w:spacing/>
        <w:ind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DESCRIPCIÓN GENERAL DEL PROYECTO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</w:p>
    <w:p w14:paraId="6B07F2CA">
      <w:pPr>
        <w:pBdr/>
        <w:spacing/>
        <w:ind/>
        <w:rPr/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/>
    </w:p>
    <w:p w14:paraId="0C2D2719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lang w:val="es-ES"/>
        </w:rPr>
        <w:t xml:space="preserve">Trato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es una plataforma digital de subastas de alto rendimiento diseñada para permitir que los usuarios publiquen productos y parti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cipen en procesos de puja en tiempo real. El sistema garantiza la competencia justa mediante ofertas crecientes dentro de un marco de tiempo predefinido, automatizando el cierre de procesos y la determinación de ganadores bajo reglas de integridad técnica.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85390C8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Objetivo General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1E329D9">
      <w:pPr>
        <w:pBdr/>
        <w:spacing/>
        <w:ind/>
        <w:rPr/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/>
    </w:p>
    <w:p w14:paraId="0DE34A93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Desarrollar una infraestructura distribuida basada en microservicios que soporte la gestión de subastas digitales masivas, asegurando una experiencia fluida, baja latencia en pujas y un control estricto de los estados de cada artículo.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AC354FE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Objetivos Específicos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4E3387C">
      <w:pPr>
        <w:pBdr/>
        <w:spacing/>
        <w:ind/>
        <w:rPr/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/>
    </w:p>
    <w:p w14:paraId="603CE0AE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Implementar un sistema robusto de autenticación y gestión de usuarios.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D9FC9CE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Proveer herramientas para la publicación y consulta exhaustiva de productos.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BBC648C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el ciclo de vida completo de las subastas (Creación, Activación, Finalización).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C20DC74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Validar y registrar transacciones de pujas en tiempo real bajo un modelo distribuido.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C2825F7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Automatizar la selección de ganadores y el procesamiento simulado de pagos.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0BD5FE1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analítica e historial de actividad para auditoría y reportes.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01E3119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Desplegar una arquitectura de notificaciones reactiva basada en eventos.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F835FFE"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REQUISITOS FUNCIONALES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125047D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Gestión de Usuarios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B4C314B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Registro de nuevos usuarios.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03F39F4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Inicio de sesión seguro.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586EADD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Administración de perfil de usuario.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0FE1BAA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Gestión de Productos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6A8BBC7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Creación y edición de catálogos de productos.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731B1A2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Búsqueda y filtrado de artículos disponibles.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51A1B49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Gestión de Subastas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66EE768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Configuración de subastas con precio base y cronómetro.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A829DB3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Monitoreo de estados (ACTIVA, FINALIZADA, CANCELADA).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91FD16B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Gestión de Pujas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620DE40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Registro de ofertas competitivas.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E59B267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Validación automática de pujas.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500E1BA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Persistencia del historial cronológico de ofertas.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5ED8A7D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Finalización y Pagos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0239641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Cierre automático por expiración de tiempo.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FCA7914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Cálculo y asignación del ganador.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41D4237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Procesamiento y registro de pagos (Simulado).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9F56D84"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Reportes y Notificaciones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E7B4367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Historial detallado de participación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D2E8DF5"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Notificaciones en tiempo real para pujas superadas y cierres.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AA7F2B3"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 DIAGRAMA DE MICROSERVICIOS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CF7F600"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4. MODELO RELACIONAL DE CADA MICROSERVICIO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2026-04-17T04:46:42Z</dcterms:modified>
  <cp:category/>
</cp:coreProperties>
</file>