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9"/>
        <w:gridCol w:w="4661"/>
      </w:tblGrid>
      <w:tr w:rsidR="00136E10" w:rsidRPr="00395CF0" w14:paraId="2FDFF5D1" w14:textId="77777777" w:rsidTr="00201CEA">
        <w:tc>
          <w:tcPr>
            <w:tcW w:w="4788" w:type="dxa"/>
          </w:tcPr>
          <w:p w14:paraId="1AD53D7F" w14:textId="3DE62BCB" w:rsidR="00136E10" w:rsidRPr="00395CF0" w:rsidRDefault="00136E10" w:rsidP="001F5E90">
            <w:pPr>
              <w:pStyle w:val="BodyText"/>
              <w:rPr>
                <w:rFonts w:ascii="Calibri" w:hAnsi="Calibri" w:cs="Calibri"/>
              </w:rPr>
            </w:pPr>
            <w:r w:rsidRPr="00395CF0">
              <w:rPr>
                <w:b/>
                <w:bCs/>
                <w:noProof/>
              </w:rPr>
              <w:drawing>
                <wp:inline distT="0" distB="0" distL="0" distR="0" wp14:anchorId="422ADA0F" wp14:editId="00FC4260">
                  <wp:extent cx="2172832" cy="662064"/>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51" cy="673283"/>
                          </a:xfrm>
                          <a:prstGeom prst="rect">
                            <a:avLst/>
                          </a:prstGeom>
                        </pic:spPr>
                      </pic:pic>
                    </a:graphicData>
                  </a:graphic>
                </wp:inline>
              </w:drawing>
            </w:r>
          </w:p>
        </w:tc>
        <w:tc>
          <w:tcPr>
            <w:tcW w:w="4788" w:type="dxa"/>
          </w:tcPr>
          <w:p w14:paraId="01A4F1E1" w14:textId="7364E81D" w:rsidR="00136E10" w:rsidRPr="00395CF0" w:rsidRDefault="001551E8" w:rsidP="001551E8">
            <w:pPr>
              <w:pStyle w:val="BodyText"/>
              <w:jc w:val="right"/>
              <w:rPr>
                <w:rFonts w:ascii="Calibri" w:hAnsi="Calibri" w:cs="Calibri"/>
              </w:rPr>
            </w:pPr>
            <w:r w:rsidRPr="00395CF0">
              <w:rPr>
                <w:b/>
                <w:bCs/>
                <w:noProof/>
              </w:rPr>
              <w:drawing>
                <wp:inline distT="0" distB="0" distL="0" distR="0" wp14:anchorId="01299221" wp14:editId="32D7BD8D">
                  <wp:extent cx="1865014" cy="709940"/>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9397" cy="723028"/>
                          </a:xfrm>
                          <a:prstGeom prst="rect">
                            <a:avLst/>
                          </a:prstGeom>
                        </pic:spPr>
                      </pic:pic>
                    </a:graphicData>
                  </a:graphic>
                </wp:inline>
              </w:drawing>
            </w:r>
          </w:p>
        </w:tc>
      </w:tr>
    </w:tbl>
    <w:p w14:paraId="3A447B4D" w14:textId="614A08EB" w:rsidR="001F5E90" w:rsidRPr="00395CF0" w:rsidRDefault="001F5E90" w:rsidP="001F5E90">
      <w:pPr>
        <w:pStyle w:val="BodyText"/>
        <w:rPr>
          <w:rFonts w:ascii="Calibri" w:hAnsi="Calibri" w:cs="Calibri"/>
          <w:lang w:val="en-GB"/>
        </w:rPr>
      </w:pPr>
    </w:p>
    <w:p w14:paraId="7044FA1B" w14:textId="77777777" w:rsidR="00F00599" w:rsidRPr="00395CF0" w:rsidRDefault="00F00599" w:rsidP="001F5E90">
      <w:pPr>
        <w:pStyle w:val="BodyText"/>
        <w:rPr>
          <w:rFonts w:ascii="Calibri" w:hAnsi="Calibri" w:cs="Calibri"/>
          <w:lang w:val="en-GB"/>
        </w:rPr>
      </w:pPr>
    </w:p>
    <w:p w14:paraId="24FA2AFD" w14:textId="7F230C26" w:rsidR="001F5E90" w:rsidRPr="00395CF0" w:rsidRDefault="001F5E90" w:rsidP="001F5E90">
      <w:pPr>
        <w:pStyle w:val="BodyText"/>
        <w:rPr>
          <w:rFonts w:ascii="Calibri" w:hAnsi="Calibri" w:cs="Calibri"/>
          <w:lang w:val="en-GB"/>
        </w:rPr>
      </w:pPr>
    </w:p>
    <w:p w14:paraId="7E96023E" w14:textId="54A02800" w:rsidR="00F00599" w:rsidRPr="00395CF0" w:rsidRDefault="00F00599" w:rsidP="001F5E90">
      <w:pPr>
        <w:pStyle w:val="BodyText"/>
        <w:rPr>
          <w:rFonts w:ascii="Calibri" w:hAnsi="Calibri" w:cs="Calibri"/>
          <w:lang w:val="en-GB"/>
        </w:rPr>
      </w:pPr>
    </w:p>
    <w:p w14:paraId="1F2B5FBE" w14:textId="77777777" w:rsidR="00F00599" w:rsidRPr="00395CF0" w:rsidRDefault="00F00599" w:rsidP="001F5E90">
      <w:pPr>
        <w:pStyle w:val="BodyText"/>
        <w:rPr>
          <w:rFonts w:ascii="Calibri" w:hAnsi="Calibri" w:cs="Calibri"/>
          <w:lang w:val="en-GB"/>
        </w:rPr>
      </w:pPr>
    </w:p>
    <w:p w14:paraId="3A0A3F60" w14:textId="0E71AE9D" w:rsidR="00666639" w:rsidRPr="00395CF0" w:rsidRDefault="005F0458" w:rsidP="00F00599">
      <w:pPr>
        <w:pStyle w:val="Title"/>
        <w:jc w:val="center"/>
        <w:rPr>
          <w:rFonts w:ascii="Calibri" w:hAnsi="Calibri" w:cs="Calibri"/>
          <w:color w:val="4F81BD" w:themeColor="accent1"/>
          <w:sz w:val="40"/>
          <w:szCs w:val="40"/>
          <w:lang w:val="en-GB"/>
        </w:rPr>
      </w:pPr>
      <w:r w:rsidRPr="00395CF0">
        <w:rPr>
          <w:rFonts w:ascii="Calibri" w:hAnsi="Calibri" w:cs="Calibri"/>
          <w:color w:val="4F81BD" w:themeColor="accent1"/>
          <w:sz w:val="40"/>
          <w:szCs w:val="40"/>
          <w:lang w:val="en-GB"/>
        </w:rPr>
        <w:t>How is COVID-19 impacting women and men’s working lives in the UK?</w:t>
      </w:r>
    </w:p>
    <w:p w14:paraId="33324637" w14:textId="2ABC7AF5" w:rsidR="001F5E90" w:rsidRPr="00395CF0" w:rsidRDefault="001F5E90" w:rsidP="001F5E90">
      <w:pPr>
        <w:pStyle w:val="BodyText"/>
        <w:rPr>
          <w:rFonts w:ascii="Calibri" w:hAnsi="Calibri" w:cs="Calibri"/>
          <w:lang w:val="en-GB"/>
        </w:rPr>
      </w:pPr>
    </w:p>
    <w:p w14:paraId="1BC5CDB7" w14:textId="77777777" w:rsidR="001F5E90" w:rsidRPr="00395CF0" w:rsidRDefault="001F5E90" w:rsidP="001F5E90">
      <w:pPr>
        <w:pStyle w:val="BodyText"/>
        <w:rPr>
          <w:rFonts w:ascii="Calibri" w:hAnsi="Calibri" w:cs="Calibri"/>
          <w:lang w:val="en-GB"/>
        </w:rPr>
      </w:pPr>
    </w:p>
    <w:p w14:paraId="3A0A3F61" w14:textId="59B2F09F" w:rsidR="00666639" w:rsidRPr="00395CF0" w:rsidRDefault="007D26AB">
      <w:pPr>
        <w:pStyle w:val="Subtitle"/>
        <w:rPr>
          <w:rFonts w:ascii="Calibri" w:hAnsi="Calibri" w:cs="Calibri"/>
          <w:lang w:val="en-GB"/>
        </w:rPr>
      </w:pPr>
      <w:r w:rsidRPr="00395CF0">
        <w:rPr>
          <w:rFonts w:ascii="Calibri" w:hAnsi="Calibri" w:cs="Calibri"/>
          <w:lang w:val="en-GB"/>
        </w:rPr>
        <w:t>Research Summary 1</w:t>
      </w:r>
      <w:r w:rsidR="005F0458" w:rsidRPr="00395CF0">
        <w:rPr>
          <w:rFonts w:ascii="Calibri" w:hAnsi="Calibri" w:cs="Calibri"/>
          <w:lang w:val="en-GB"/>
        </w:rPr>
        <w:t>: Unemployment</w:t>
      </w:r>
      <w:r w:rsidR="0099315D" w:rsidRPr="00395CF0">
        <w:rPr>
          <w:rFonts w:ascii="Calibri" w:hAnsi="Calibri" w:cs="Calibri"/>
          <w:lang w:val="en-GB"/>
        </w:rPr>
        <w:t xml:space="preserve"> and job loss</w:t>
      </w:r>
      <w:r w:rsidR="005F0458" w:rsidRPr="00395CF0">
        <w:rPr>
          <w:rFonts w:ascii="Calibri" w:hAnsi="Calibri" w:cs="Calibri"/>
          <w:lang w:val="en-GB"/>
        </w:rPr>
        <w:t xml:space="preserve"> in the COVID-19 UK: Exploring gender, ethnicity, and class</w:t>
      </w:r>
    </w:p>
    <w:p w14:paraId="0F4920F2" w14:textId="77777777" w:rsidR="001F5E90" w:rsidRPr="00395CF0" w:rsidRDefault="001F5E90">
      <w:pPr>
        <w:pStyle w:val="Author"/>
        <w:rPr>
          <w:rFonts w:ascii="Calibri" w:hAnsi="Calibri" w:cs="Calibri"/>
          <w:lang w:val="en-GB"/>
        </w:rPr>
      </w:pPr>
    </w:p>
    <w:p w14:paraId="20400A7B" w14:textId="5DE0C9E3" w:rsidR="001F5E90" w:rsidRPr="005F29AD" w:rsidRDefault="005F0458">
      <w:pPr>
        <w:pStyle w:val="Author"/>
        <w:rPr>
          <w:rFonts w:ascii="Calibri" w:hAnsi="Calibri" w:cs="Calibri"/>
          <w:lang w:val="en-GB"/>
        </w:rPr>
      </w:pPr>
      <w:r w:rsidRPr="005F29AD">
        <w:rPr>
          <w:rFonts w:ascii="Calibri" w:hAnsi="Calibri" w:cs="Calibri"/>
          <w:lang w:val="en-GB"/>
        </w:rPr>
        <w:t xml:space="preserve">Luis D. Torres, Tracey Warren, </w:t>
      </w:r>
      <w:proofErr w:type="spellStart"/>
      <w:r w:rsidRPr="005F29AD">
        <w:rPr>
          <w:rFonts w:ascii="Calibri" w:hAnsi="Calibri" w:cs="Calibri"/>
          <w:lang w:val="en-GB"/>
        </w:rPr>
        <w:t>Annegreet</w:t>
      </w:r>
      <w:proofErr w:type="spellEnd"/>
      <w:r w:rsidRPr="005F29AD">
        <w:rPr>
          <w:rFonts w:ascii="Calibri" w:hAnsi="Calibri" w:cs="Calibri"/>
          <w:lang w:val="en-GB"/>
        </w:rPr>
        <w:t xml:space="preserve"> </w:t>
      </w:r>
      <w:proofErr w:type="spellStart"/>
      <w:r w:rsidRPr="005F29AD">
        <w:rPr>
          <w:rFonts w:ascii="Calibri" w:hAnsi="Calibri" w:cs="Calibri"/>
          <w:lang w:val="en-GB"/>
        </w:rPr>
        <w:t>Veeken</w:t>
      </w:r>
      <w:proofErr w:type="spellEnd"/>
      <w:r w:rsidR="00E64D84" w:rsidRPr="005F29AD">
        <w:rPr>
          <w:rFonts w:ascii="Calibri" w:hAnsi="Calibri" w:cs="Calibri"/>
          <w:lang w:val="en-GB"/>
        </w:rPr>
        <w:t xml:space="preserve"> and the UK Women’s Budget Group</w:t>
      </w:r>
      <w:r w:rsidRPr="005F29AD">
        <w:rPr>
          <w:rFonts w:ascii="Calibri" w:hAnsi="Calibri" w:cs="Calibri"/>
          <w:lang w:val="en-GB"/>
        </w:rPr>
        <w:t xml:space="preserve"> </w:t>
      </w:r>
    </w:p>
    <w:p w14:paraId="1A2F2B29" w14:textId="1E9778CC" w:rsidR="008F77B8" w:rsidRPr="005F29AD" w:rsidRDefault="008F77B8" w:rsidP="008F77B8">
      <w:pPr>
        <w:pStyle w:val="BodyText"/>
        <w:rPr>
          <w:rFonts w:ascii="Calibri" w:hAnsi="Calibri" w:cs="Calibri"/>
          <w:lang w:val="en-GB"/>
        </w:rPr>
      </w:pPr>
    </w:p>
    <w:p w14:paraId="3A0A3F63" w14:textId="6E91BB20" w:rsidR="00666639" w:rsidRPr="00395CF0" w:rsidRDefault="00D95D8D">
      <w:pPr>
        <w:pStyle w:val="Date"/>
        <w:rPr>
          <w:rFonts w:ascii="Calibri" w:hAnsi="Calibri" w:cs="Calibri"/>
          <w:lang w:val="en-GB"/>
        </w:rPr>
      </w:pPr>
      <w:r w:rsidRPr="005F29AD">
        <w:rPr>
          <w:rFonts w:ascii="Calibri" w:hAnsi="Calibri" w:cs="Calibri"/>
          <w:lang w:val="en-GB"/>
        </w:rPr>
        <w:t>June</w:t>
      </w:r>
      <w:r w:rsidR="005F0458" w:rsidRPr="005F29AD">
        <w:rPr>
          <w:rFonts w:ascii="Calibri" w:hAnsi="Calibri" w:cs="Calibri"/>
          <w:lang w:val="en-GB"/>
        </w:rPr>
        <w:t xml:space="preserve"> 2021</w:t>
      </w:r>
    </w:p>
    <w:p w14:paraId="15E8F615" w14:textId="5B02E42F" w:rsidR="00201CEA" w:rsidRPr="00395CF0" w:rsidRDefault="00201CEA" w:rsidP="00201CEA">
      <w:pPr>
        <w:pStyle w:val="BodyText"/>
        <w:rPr>
          <w:lang w:val="en-GB"/>
        </w:rPr>
      </w:pPr>
    </w:p>
    <w:p w14:paraId="18F8D277" w14:textId="77777777" w:rsidR="00201CEA" w:rsidRPr="00395CF0" w:rsidRDefault="00201CEA" w:rsidP="00201CEA">
      <w:pPr>
        <w:pStyle w:val="BodyText"/>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593"/>
      </w:tblGrid>
      <w:tr w:rsidR="001551E8" w:rsidRPr="00395CF0" w14:paraId="17E2967E" w14:textId="77777777" w:rsidTr="00201CEA">
        <w:tc>
          <w:tcPr>
            <w:tcW w:w="4788" w:type="dxa"/>
          </w:tcPr>
          <w:p w14:paraId="11FEBD72" w14:textId="6D08F7E1" w:rsidR="001551E8" w:rsidRPr="00395CF0" w:rsidRDefault="00215ACF" w:rsidP="007D0336">
            <w:pPr>
              <w:pStyle w:val="BodyText"/>
              <w:rPr>
                <w:rFonts w:ascii="Calibri" w:hAnsi="Calibri" w:cs="Calibri"/>
              </w:rPr>
            </w:pPr>
            <w:r w:rsidRPr="00395CF0">
              <w:rPr>
                <w:b/>
                <w:bCs/>
                <w:noProof/>
              </w:rPr>
              <w:drawing>
                <wp:inline distT="0" distB="0" distL="0" distR="0" wp14:anchorId="0C1A6B9A" wp14:editId="6C9EA5F8">
                  <wp:extent cx="2775526" cy="706039"/>
                  <wp:effectExtent l="0" t="0" r="0" b="5715"/>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0389" cy="719995"/>
                          </a:xfrm>
                          <a:prstGeom prst="rect">
                            <a:avLst/>
                          </a:prstGeom>
                        </pic:spPr>
                      </pic:pic>
                    </a:graphicData>
                  </a:graphic>
                </wp:inline>
              </w:drawing>
            </w:r>
          </w:p>
        </w:tc>
        <w:tc>
          <w:tcPr>
            <w:tcW w:w="4788" w:type="dxa"/>
          </w:tcPr>
          <w:p w14:paraId="74B67CE7" w14:textId="61C1224E" w:rsidR="001551E8" w:rsidRPr="00395CF0" w:rsidRDefault="00F26733" w:rsidP="00201CEA">
            <w:pPr>
              <w:pStyle w:val="BodyText"/>
              <w:jc w:val="right"/>
              <w:rPr>
                <w:rFonts w:ascii="Calibri" w:hAnsi="Calibri" w:cs="Calibri"/>
              </w:rPr>
            </w:pPr>
            <w:r w:rsidRPr="00395CF0">
              <w:rPr>
                <w:b/>
                <w:bCs/>
                <w:noProof/>
              </w:rPr>
              <w:drawing>
                <wp:inline distT="0" distB="0" distL="0" distR="0" wp14:anchorId="494DE5AC" wp14:editId="4C70E16F">
                  <wp:extent cx="1683945" cy="780063"/>
                  <wp:effectExtent l="0" t="0" r="5715"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156" cy="788962"/>
                          </a:xfrm>
                          <a:prstGeom prst="rect">
                            <a:avLst/>
                          </a:prstGeom>
                        </pic:spPr>
                      </pic:pic>
                    </a:graphicData>
                  </a:graphic>
                </wp:inline>
              </w:drawing>
            </w:r>
          </w:p>
        </w:tc>
      </w:tr>
    </w:tbl>
    <w:p w14:paraId="752E5EB2" w14:textId="77777777" w:rsidR="001F5E90" w:rsidRPr="00395CF0" w:rsidRDefault="001F5E90" w:rsidP="007D0336">
      <w:pPr>
        <w:pStyle w:val="BodyText"/>
        <w:rPr>
          <w:rFonts w:ascii="Calibri" w:hAnsi="Calibri" w:cs="Calibri"/>
          <w:lang w:val="en-GB"/>
        </w:rPr>
        <w:sectPr w:rsidR="001F5E90" w:rsidRPr="00395CF0" w:rsidSect="003276B0">
          <w:headerReference w:type="default" r:id="rId12"/>
          <w:footerReference w:type="default" r:id="rId13"/>
          <w:pgSz w:w="12240" w:h="15840"/>
          <w:pgMar w:top="1440" w:right="1440" w:bottom="1440" w:left="1440" w:header="720" w:footer="720" w:gutter="0"/>
          <w:cols w:space="720"/>
          <w:titlePg/>
          <w:docGrid w:linePitch="326"/>
        </w:sectPr>
      </w:pPr>
    </w:p>
    <w:sdt>
      <w:sdtPr>
        <w:rPr>
          <w:rFonts w:ascii="Calibri" w:eastAsiaTheme="minorHAnsi" w:hAnsi="Calibri" w:cs="Calibri"/>
          <w:color w:val="auto"/>
          <w:sz w:val="24"/>
          <w:szCs w:val="24"/>
          <w:lang w:val="en-GB" w:eastAsia="en-GB"/>
        </w:rPr>
        <w:id w:val="-1555695019"/>
        <w:docPartObj>
          <w:docPartGallery w:val="Table of Contents"/>
          <w:docPartUnique/>
        </w:docPartObj>
      </w:sdtPr>
      <w:sdtEndPr>
        <w:rPr>
          <w:rFonts w:eastAsia="Times New Roman"/>
        </w:rPr>
      </w:sdtEndPr>
      <w:sdtContent>
        <w:p w14:paraId="73123147" w14:textId="77777777" w:rsidR="00B01CD7" w:rsidRPr="00395CF0" w:rsidRDefault="00B01CD7">
          <w:pPr>
            <w:pStyle w:val="TOCHeading"/>
            <w:rPr>
              <w:rFonts w:ascii="Calibri" w:eastAsiaTheme="minorHAnsi" w:hAnsi="Calibri" w:cs="Calibri"/>
              <w:color w:val="auto"/>
              <w:sz w:val="24"/>
              <w:szCs w:val="24"/>
              <w:lang w:val="en-GB"/>
            </w:rPr>
          </w:pPr>
        </w:p>
        <w:p w14:paraId="3A0A3F64" w14:textId="2C347250" w:rsidR="00666639" w:rsidRPr="00395CF0" w:rsidRDefault="005F0458">
          <w:pPr>
            <w:pStyle w:val="TOCHeading"/>
            <w:rPr>
              <w:rFonts w:ascii="Calibri" w:hAnsi="Calibri" w:cs="Calibri"/>
              <w:lang w:val="en-GB"/>
            </w:rPr>
          </w:pPr>
          <w:r w:rsidRPr="00395CF0">
            <w:rPr>
              <w:rFonts w:ascii="Calibri" w:hAnsi="Calibri" w:cs="Calibri"/>
              <w:lang w:val="en-GB"/>
            </w:rPr>
            <w:t>Contents</w:t>
          </w:r>
        </w:p>
        <w:p w14:paraId="2160B7A0" w14:textId="77777777" w:rsidR="001F5E90" w:rsidRPr="00395CF0" w:rsidRDefault="001F5E90">
          <w:pPr>
            <w:pStyle w:val="TOC1"/>
            <w:tabs>
              <w:tab w:val="right" w:leader="dot" w:pos="9350"/>
            </w:tabs>
            <w:rPr>
              <w:rFonts w:ascii="Calibri" w:hAnsi="Calibri" w:cs="Calibri"/>
              <w:lang w:val="en-GB"/>
            </w:rPr>
          </w:pPr>
        </w:p>
        <w:p w14:paraId="77614F41" w14:textId="555EF048" w:rsidR="00A33E9F" w:rsidRDefault="005F0458">
          <w:pPr>
            <w:pStyle w:val="TOC1"/>
            <w:tabs>
              <w:tab w:val="right" w:leader="dot" w:pos="9350"/>
            </w:tabs>
            <w:rPr>
              <w:rFonts w:eastAsiaTheme="minorEastAsia"/>
              <w:noProof/>
              <w:lang w:val="en-GB" w:eastAsia="en-GB"/>
            </w:rPr>
          </w:pPr>
          <w:r w:rsidRPr="00395CF0">
            <w:rPr>
              <w:rFonts w:ascii="Calibri" w:hAnsi="Calibri" w:cs="Calibri"/>
              <w:lang w:val="en-GB"/>
            </w:rPr>
            <w:fldChar w:fldCharType="begin"/>
          </w:r>
          <w:r w:rsidRPr="00395CF0">
            <w:rPr>
              <w:rFonts w:ascii="Calibri" w:hAnsi="Calibri" w:cs="Calibri"/>
              <w:lang w:val="en-GB"/>
            </w:rPr>
            <w:instrText>TOC \o "1-3" \h \z \u</w:instrText>
          </w:r>
          <w:r w:rsidRPr="00395CF0">
            <w:rPr>
              <w:rFonts w:ascii="Calibri" w:hAnsi="Calibri" w:cs="Calibri"/>
              <w:lang w:val="en-GB"/>
            </w:rPr>
            <w:fldChar w:fldCharType="separate"/>
          </w:r>
          <w:hyperlink w:anchor="_Toc72997392" w:history="1">
            <w:r w:rsidR="00A33E9F" w:rsidRPr="00107733">
              <w:rPr>
                <w:rStyle w:val="Hyperlink"/>
                <w:rFonts w:ascii="Calibri" w:hAnsi="Calibri" w:cs="Calibri"/>
                <w:noProof/>
                <w:lang w:val="en-GB"/>
              </w:rPr>
              <w:t>Introduction</w:t>
            </w:r>
            <w:r w:rsidR="00A33E9F">
              <w:rPr>
                <w:noProof/>
                <w:webHidden/>
              </w:rPr>
              <w:tab/>
            </w:r>
            <w:r w:rsidR="00A33E9F">
              <w:rPr>
                <w:noProof/>
                <w:webHidden/>
              </w:rPr>
              <w:fldChar w:fldCharType="begin"/>
            </w:r>
            <w:r w:rsidR="00A33E9F">
              <w:rPr>
                <w:noProof/>
                <w:webHidden/>
              </w:rPr>
              <w:instrText xml:space="preserve"> PAGEREF _Toc72997392 \h </w:instrText>
            </w:r>
            <w:r w:rsidR="00A33E9F">
              <w:rPr>
                <w:noProof/>
                <w:webHidden/>
              </w:rPr>
            </w:r>
            <w:r w:rsidR="00A33E9F">
              <w:rPr>
                <w:noProof/>
                <w:webHidden/>
              </w:rPr>
              <w:fldChar w:fldCharType="separate"/>
            </w:r>
            <w:r w:rsidR="00A33E9F">
              <w:rPr>
                <w:noProof/>
                <w:webHidden/>
              </w:rPr>
              <w:t>3</w:t>
            </w:r>
            <w:r w:rsidR="00A33E9F">
              <w:rPr>
                <w:noProof/>
                <w:webHidden/>
              </w:rPr>
              <w:fldChar w:fldCharType="end"/>
            </w:r>
          </w:hyperlink>
        </w:p>
        <w:p w14:paraId="6B2A716A" w14:textId="3D3BA6DD" w:rsidR="00A33E9F" w:rsidRDefault="00584D80">
          <w:pPr>
            <w:pStyle w:val="TOC1"/>
            <w:tabs>
              <w:tab w:val="right" w:leader="dot" w:pos="9350"/>
            </w:tabs>
            <w:rPr>
              <w:rFonts w:eastAsiaTheme="minorEastAsia"/>
              <w:noProof/>
              <w:lang w:val="en-GB" w:eastAsia="en-GB"/>
            </w:rPr>
          </w:pPr>
          <w:hyperlink w:anchor="_Toc72997393" w:history="1">
            <w:r w:rsidR="00A33E9F" w:rsidRPr="00107733">
              <w:rPr>
                <w:rStyle w:val="Hyperlink"/>
                <w:rFonts w:ascii="Calibri" w:hAnsi="Calibri" w:cs="Calibri"/>
                <w:noProof/>
                <w:lang w:val="en-GB"/>
              </w:rPr>
              <w:t>Gender impact of COVID-19 on employment trends</w:t>
            </w:r>
            <w:r w:rsidR="00A33E9F">
              <w:rPr>
                <w:noProof/>
                <w:webHidden/>
              </w:rPr>
              <w:tab/>
            </w:r>
            <w:r w:rsidR="00A33E9F">
              <w:rPr>
                <w:noProof/>
                <w:webHidden/>
              </w:rPr>
              <w:fldChar w:fldCharType="begin"/>
            </w:r>
            <w:r w:rsidR="00A33E9F">
              <w:rPr>
                <w:noProof/>
                <w:webHidden/>
              </w:rPr>
              <w:instrText xml:space="preserve"> PAGEREF _Toc72997393 \h </w:instrText>
            </w:r>
            <w:r w:rsidR="00A33E9F">
              <w:rPr>
                <w:noProof/>
                <w:webHidden/>
              </w:rPr>
            </w:r>
            <w:r w:rsidR="00A33E9F">
              <w:rPr>
                <w:noProof/>
                <w:webHidden/>
              </w:rPr>
              <w:fldChar w:fldCharType="separate"/>
            </w:r>
            <w:r w:rsidR="00A33E9F">
              <w:rPr>
                <w:noProof/>
                <w:webHidden/>
              </w:rPr>
              <w:t>3</w:t>
            </w:r>
            <w:r w:rsidR="00A33E9F">
              <w:rPr>
                <w:noProof/>
                <w:webHidden/>
              </w:rPr>
              <w:fldChar w:fldCharType="end"/>
            </w:r>
          </w:hyperlink>
        </w:p>
        <w:p w14:paraId="564DD2A3" w14:textId="767A9FFF" w:rsidR="00A33E9F" w:rsidRDefault="00584D80">
          <w:pPr>
            <w:pStyle w:val="TOC2"/>
            <w:tabs>
              <w:tab w:val="right" w:leader="dot" w:pos="9350"/>
            </w:tabs>
            <w:rPr>
              <w:rFonts w:eastAsiaTheme="minorEastAsia"/>
              <w:noProof/>
              <w:lang w:val="en-GB" w:eastAsia="en-GB"/>
            </w:rPr>
          </w:pPr>
          <w:hyperlink w:anchor="_Toc72997394" w:history="1">
            <w:r w:rsidR="00A33E9F" w:rsidRPr="00107733">
              <w:rPr>
                <w:rStyle w:val="Hyperlink"/>
                <w:rFonts w:ascii="Calibri" w:hAnsi="Calibri" w:cs="Calibri"/>
                <w:noProof/>
                <w:lang w:val="en-GB"/>
              </w:rPr>
              <w:t>Men’s unemployment hit the most</w:t>
            </w:r>
            <w:r w:rsidR="00A33E9F">
              <w:rPr>
                <w:noProof/>
                <w:webHidden/>
              </w:rPr>
              <w:tab/>
            </w:r>
            <w:r w:rsidR="00A33E9F">
              <w:rPr>
                <w:noProof/>
                <w:webHidden/>
              </w:rPr>
              <w:fldChar w:fldCharType="begin"/>
            </w:r>
            <w:r w:rsidR="00A33E9F">
              <w:rPr>
                <w:noProof/>
                <w:webHidden/>
              </w:rPr>
              <w:instrText xml:space="preserve"> PAGEREF _Toc72997394 \h </w:instrText>
            </w:r>
            <w:r w:rsidR="00A33E9F">
              <w:rPr>
                <w:noProof/>
                <w:webHidden/>
              </w:rPr>
            </w:r>
            <w:r w:rsidR="00A33E9F">
              <w:rPr>
                <w:noProof/>
                <w:webHidden/>
              </w:rPr>
              <w:fldChar w:fldCharType="separate"/>
            </w:r>
            <w:r w:rsidR="00A33E9F">
              <w:rPr>
                <w:noProof/>
                <w:webHidden/>
              </w:rPr>
              <w:t>3</w:t>
            </w:r>
            <w:r w:rsidR="00A33E9F">
              <w:rPr>
                <w:noProof/>
                <w:webHidden/>
              </w:rPr>
              <w:fldChar w:fldCharType="end"/>
            </w:r>
          </w:hyperlink>
        </w:p>
        <w:p w14:paraId="02969D0C" w14:textId="6AFDF2F9" w:rsidR="00A33E9F" w:rsidRDefault="00584D80">
          <w:pPr>
            <w:pStyle w:val="TOC2"/>
            <w:tabs>
              <w:tab w:val="right" w:leader="dot" w:pos="9350"/>
            </w:tabs>
            <w:rPr>
              <w:rFonts w:eastAsiaTheme="minorEastAsia"/>
              <w:noProof/>
              <w:lang w:val="en-GB" w:eastAsia="en-GB"/>
            </w:rPr>
          </w:pPr>
          <w:hyperlink w:anchor="_Toc72997395" w:history="1">
            <w:r w:rsidR="00A33E9F" w:rsidRPr="00107733">
              <w:rPr>
                <w:rStyle w:val="Hyperlink"/>
                <w:rFonts w:ascii="Calibri" w:hAnsi="Calibri" w:cs="Calibri"/>
                <w:noProof/>
                <w:lang w:val="en-GB"/>
              </w:rPr>
              <w:t>Highest job loss among young people</w:t>
            </w:r>
            <w:r w:rsidR="00A33E9F">
              <w:rPr>
                <w:noProof/>
                <w:webHidden/>
              </w:rPr>
              <w:tab/>
            </w:r>
            <w:r w:rsidR="00A33E9F">
              <w:rPr>
                <w:noProof/>
                <w:webHidden/>
              </w:rPr>
              <w:fldChar w:fldCharType="begin"/>
            </w:r>
            <w:r w:rsidR="00A33E9F">
              <w:rPr>
                <w:noProof/>
                <w:webHidden/>
              </w:rPr>
              <w:instrText xml:space="preserve"> PAGEREF _Toc72997395 \h </w:instrText>
            </w:r>
            <w:r w:rsidR="00A33E9F">
              <w:rPr>
                <w:noProof/>
                <w:webHidden/>
              </w:rPr>
            </w:r>
            <w:r w:rsidR="00A33E9F">
              <w:rPr>
                <w:noProof/>
                <w:webHidden/>
              </w:rPr>
              <w:fldChar w:fldCharType="separate"/>
            </w:r>
            <w:r w:rsidR="00A33E9F">
              <w:rPr>
                <w:noProof/>
                <w:webHidden/>
              </w:rPr>
              <w:t>4</w:t>
            </w:r>
            <w:r w:rsidR="00A33E9F">
              <w:rPr>
                <w:noProof/>
                <w:webHidden/>
              </w:rPr>
              <w:fldChar w:fldCharType="end"/>
            </w:r>
          </w:hyperlink>
        </w:p>
        <w:p w14:paraId="67138310" w14:textId="68CB608A" w:rsidR="00A33E9F" w:rsidRDefault="00584D80">
          <w:pPr>
            <w:pStyle w:val="TOC2"/>
            <w:tabs>
              <w:tab w:val="right" w:leader="dot" w:pos="9350"/>
            </w:tabs>
            <w:rPr>
              <w:rFonts w:eastAsiaTheme="minorEastAsia"/>
              <w:noProof/>
              <w:lang w:val="en-GB" w:eastAsia="en-GB"/>
            </w:rPr>
          </w:pPr>
          <w:hyperlink w:anchor="_Toc72997396" w:history="1">
            <w:r w:rsidR="00A33E9F" w:rsidRPr="00107733">
              <w:rPr>
                <w:rStyle w:val="Hyperlink"/>
                <w:rFonts w:ascii="Calibri" w:hAnsi="Calibri" w:cs="Calibri"/>
                <w:noProof/>
                <w:lang w:val="en-GB"/>
              </w:rPr>
              <w:t>People from minority ethnic backgrounds have been hit the hardest</w:t>
            </w:r>
            <w:r w:rsidR="00A33E9F">
              <w:rPr>
                <w:noProof/>
                <w:webHidden/>
              </w:rPr>
              <w:tab/>
            </w:r>
            <w:r w:rsidR="00A33E9F">
              <w:rPr>
                <w:noProof/>
                <w:webHidden/>
              </w:rPr>
              <w:fldChar w:fldCharType="begin"/>
            </w:r>
            <w:r w:rsidR="00A33E9F">
              <w:rPr>
                <w:noProof/>
                <w:webHidden/>
              </w:rPr>
              <w:instrText xml:space="preserve"> PAGEREF _Toc72997396 \h </w:instrText>
            </w:r>
            <w:r w:rsidR="00A33E9F">
              <w:rPr>
                <w:noProof/>
                <w:webHidden/>
              </w:rPr>
            </w:r>
            <w:r w:rsidR="00A33E9F">
              <w:rPr>
                <w:noProof/>
                <w:webHidden/>
              </w:rPr>
              <w:fldChar w:fldCharType="separate"/>
            </w:r>
            <w:r w:rsidR="00A33E9F">
              <w:rPr>
                <w:noProof/>
                <w:webHidden/>
              </w:rPr>
              <w:t>5</w:t>
            </w:r>
            <w:r w:rsidR="00A33E9F">
              <w:rPr>
                <w:noProof/>
                <w:webHidden/>
              </w:rPr>
              <w:fldChar w:fldCharType="end"/>
            </w:r>
          </w:hyperlink>
        </w:p>
        <w:p w14:paraId="7297F55F" w14:textId="031FE71C" w:rsidR="00A33E9F" w:rsidRDefault="00584D80">
          <w:pPr>
            <w:pStyle w:val="TOC2"/>
            <w:tabs>
              <w:tab w:val="right" w:leader="dot" w:pos="9350"/>
            </w:tabs>
            <w:rPr>
              <w:rFonts w:eastAsiaTheme="minorEastAsia"/>
              <w:noProof/>
              <w:lang w:val="en-GB" w:eastAsia="en-GB"/>
            </w:rPr>
          </w:pPr>
          <w:hyperlink w:anchor="_Toc72997397" w:history="1">
            <w:r w:rsidR="00A33E9F" w:rsidRPr="00107733">
              <w:rPr>
                <w:rStyle w:val="Hyperlink"/>
                <w:rFonts w:ascii="Calibri" w:hAnsi="Calibri" w:cs="Calibri"/>
                <w:noProof/>
                <w:lang w:val="en-GB"/>
              </w:rPr>
              <w:t>Employment has not recovered equally for everyone</w:t>
            </w:r>
            <w:r w:rsidR="00A33E9F">
              <w:rPr>
                <w:noProof/>
                <w:webHidden/>
              </w:rPr>
              <w:tab/>
            </w:r>
            <w:r w:rsidR="00A33E9F">
              <w:rPr>
                <w:noProof/>
                <w:webHidden/>
              </w:rPr>
              <w:fldChar w:fldCharType="begin"/>
            </w:r>
            <w:r w:rsidR="00A33E9F">
              <w:rPr>
                <w:noProof/>
                <w:webHidden/>
              </w:rPr>
              <w:instrText xml:space="preserve"> PAGEREF _Toc72997397 \h </w:instrText>
            </w:r>
            <w:r w:rsidR="00A33E9F">
              <w:rPr>
                <w:noProof/>
                <w:webHidden/>
              </w:rPr>
            </w:r>
            <w:r w:rsidR="00A33E9F">
              <w:rPr>
                <w:noProof/>
                <w:webHidden/>
              </w:rPr>
              <w:fldChar w:fldCharType="separate"/>
            </w:r>
            <w:r w:rsidR="00A33E9F">
              <w:rPr>
                <w:noProof/>
                <w:webHidden/>
              </w:rPr>
              <w:t>8</w:t>
            </w:r>
            <w:r w:rsidR="00A33E9F">
              <w:rPr>
                <w:noProof/>
                <w:webHidden/>
              </w:rPr>
              <w:fldChar w:fldCharType="end"/>
            </w:r>
          </w:hyperlink>
        </w:p>
        <w:p w14:paraId="4AAD3852" w14:textId="0989AEA9" w:rsidR="00A33E9F" w:rsidRDefault="00584D80">
          <w:pPr>
            <w:pStyle w:val="TOC2"/>
            <w:tabs>
              <w:tab w:val="right" w:leader="dot" w:pos="9350"/>
            </w:tabs>
            <w:rPr>
              <w:rFonts w:eastAsiaTheme="minorEastAsia"/>
              <w:noProof/>
              <w:lang w:val="en-GB" w:eastAsia="en-GB"/>
            </w:rPr>
          </w:pPr>
          <w:hyperlink w:anchor="_Toc72997398" w:history="1">
            <w:r w:rsidR="00A33E9F" w:rsidRPr="00107733">
              <w:rPr>
                <w:rStyle w:val="Hyperlink"/>
                <w:rFonts w:ascii="Calibri" w:hAnsi="Calibri" w:cs="Calibri"/>
                <w:noProof/>
                <w:lang w:val="en-GB"/>
              </w:rPr>
              <w:t>Redundancies were concentrated in professional as well as routine occupations</w:t>
            </w:r>
            <w:r w:rsidR="00A33E9F">
              <w:rPr>
                <w:noProof/>
                <w:webHidden/>
              </w:rPr>
              <w:tab/>
            </w:r>
            <w:r w:rsidR="00A33E9F">
              <w:rPr>
                <w:noProof/>
                <w:webHidden/>
              </w:rPr>
              <w:fldChar w:fldCharType="begin"/>
            </w:r>
            <w:r w:rsidR="00A33E9F">
              <w:rPr>
                <w:noProof/>
                <w:webHidden/>
              </w:rPr>
              <w:instrText xml:space="preserve"> PAGEREF _Toc72997398 \h </w:instrText>
            </w:r>
            <w:r w:rsidR="00A33E9F">
              <w:rPr>
                <w:noProof/>
                <w:webHidden/>
              </w:rPr>
            </w:r>
            <w:r w:rsidR="00A33E9F">
              <w:rPr>
                <w:noProof/>
                <w:webHidden/>
              </w:rPr>
              <w:fldChar w:fldCharType="separate"/>
            </w:r>
            <w:r w:rsidR="00A33E9F">
              <w:rPr>
                <w:noProof/>
                <w:webHidden/>
              </w:rPr>
              <w:t>9</w:t>
            </w:r>
            <w:r w:rsidR="00A33E9F">
              <w:rPr>
                <w:noProof/>
                <w:webHidden/>
              </w:rPr>
              <w:fldChar w:fldCharType="end"/>
            </w:r>
          </w:hyperlink>
        </w:p>
        <w:p w14:paraId="72567089" w14:textId="26260CAC" w:rsidR="00A33E9F" w:rsidRDefault="00584D80">
          <w:pPr>
            <w:pStyle w:val="TOC2"/>
            <w:tabs>
              <w:tab w:val="right" w:leader="dot" w:pos="9350"/>
            </w:tabs>
            <w:rPr>
              <w:rFonts w:eastAsiaTheme="minorEastAsia"/>
              <w:noProof/>
              <w:lang w:val="en-GB" w:eastAsia="en-GB"/>
            </w:rPr>
          </w:pPr>
          <w:hyperlink w:anchor="_Toc72997399" w:history="1">
            <w:r w:rsidR="00A33E9F" w:rsidRPr="00107733">
              <w:rPr>
                <w:rStyle w:val="Hyperlink"/>
                <w:rFonts w:ascii="Calibri" w:hAnsi="Calibri" w:cs="Calibri"/>
                <w:noProof/>
                <w:lang w:val="en-GB"/>
              </w:rPr>
              <w:t>Employers are not being able to keep their staff</w:t>
            </w:r>
            <w:r w:rsidR="00A33E9F">
              <w:rPr>
                <w:noProof/>
                <w:webHidden/>
              </w:rPr>
              <w:tab/>
            </w:r>
            <w:r w:rsidR="00A33E9F">
              <w:rPr>
                <w:noProof/>
                <w:webHidden/>
              </w:rPr>
              <w:fldChar w:fldCharType="begin"/>
            </w:r>
            <w:r w:rsidR="00A33E9F">
              <w:rPr>
                <w:noProof/>
                <w:webHidden/>
              </w:rPr>
              <w:instrText xml:space="preserve"> PAGEREF _Toc72997399 \h </w:instrText>
            </w:r>
            <w:r w:rsidR="00A33E9F">
              <w:rPr>
                <w:noProof/>
                <w:webHidden/>
              </w:rPr>
            </w:r>
            <w:r w:rsidR="00A33E9F">
              <w:rPr>
                <w:noProof/>
                <w:webHidden/>
              </w:rPr>
              <w:fldChar w:fldCharType="separate"/>
            </w:r>
            <w:r w:rsidR="00A33E9F">
              <w:rPr>
                <w:noProof/>
                <w:webHidden/>
              </w:rPr>
              <w:t>10</w:t>
            </w:r>
            <w:r w:rsidR="00A33E9F">
              <w:rPr>
                <w:noProof/>
                <w:webHidden/>
              </w:rPr>
              <w:fldChar w:fldCharType="end"/>
            </w:r>
          </w:hyperlink>
        </w:p>
        <w:p w14:paraId="7928344C" w14:textId="290465F1" w:rsidR="00A33E9F" w:rsidRDefault="00584D80">
          <w:pPr>
            <w:pStyle w:val="TOC1"/>
            <w:tabs>
              <w:tab w:val="right" w:leader="dot" w:pos="9350"/>
            </w:tabs>
            <w:rPr>
              <w:rFonts w:eastAsiaTheme="minorEastAsia"/>
              <w:noProof/>
              <w:lang w:val="en-GB" w:eastAsia="en-GB"/>
            </w:rPr>
          </w:pPr>
          <w:hyperlink w:anchor="_Toc72997400" w:history="1">
            <w:r w:rsidR="00A33E9F" w:rsidRPr="00107733">
              <w:rPr>
                <w:rStyle w:val="Hyperlink"/>
                <w:rFonts w:ascii="Calibri" w:hAnsi="Calibri" w:cs="Calibri"/>
                <w:noProof/>
                <w:lang w:val="en-GB"/>
              </w:rPr>
              <w:t>Conclusions</w:t>
            </w:r>
            <w:r w:rsidR="00A33E9F">
              <w:rPr>
                <w:noProof/>
                <w:webHidden/>
              </w:rPr>
              <w:tab/>
            </w:r>
            <w:r w:rsidR="00A33E9F">
              <w:rPr>
                <w:noProof/>
                <w:webHidden/>
              </w:rPr>
              <w:fldChar w:fldCharType="begin"/>
            </w:r>
            <w:r w:rsidR="00A33E9F">
              <w:rPr>
                <w:noProof/>
                <w:webHidden/>
              </w:rPr>
              <w:instrText xml:space="preserve"> PAGEREF _Toc72997400 \h </w:instrText>
            </w:r>
            <w:r w:rsidR="00A33E9F">
              <w:rPr>
                <w:noProof/>
                <w:webHidden/>
              </w:rPr>
            </w:r>
            <w:r w:rsidR="00A33E9F">
              <w:rPr>
                <w:noProof/>
                <w:webHidden/>
              </w:rPr>
              <w:fldChar w:fldCharType="separate"/>
            </w:r>
            <w:r w:rsidR="00A33E9F">
              <w:rPr>
                <w:noProof/>
                <w:webHidden/>
              </w:rPr>
              <w:t>12</w:t>
            </w:r>
            <w:r w:rsidR="00A33E9F">
              <w:rPr>
                <w:noProof/>
                <w:webHidden/>
              </w:rPr>
              <w:fldChar w:fldCharType="end"/>
            </w:r>
          </w:hyperlink>
        </w:p>
        <w:p w14:paraId="166B439E" w14:textId="30ECC28A" w:rsidR="00A33E9F" w:rsidRDefault="00584D80">
          <w:pPr>
            <w:pStyle w:val="TOC1"/>
            <w:tabs>
              <w:tab w:val="right" w:leader="dot" w:pos="9350"/>
            </w:tabs>
            <w:rPr>
              <w:rFonts w:eastAsiaTheme="minorEastAsia"/>
              <w:noProof/>
              <w:lang w:val="en-GB" w:eastAsia="en-GB"/>
            </w:rPr>
          </w:pPr>
          <w:hyperlink w:anchor="_Toc72997401" w:history="1">
            <w:r w:rsidR="00A33E9F" w:rsidRPr="00107733">
              <w:rPr>
                <w:rStyle w:val="Hyperlink"/>
                <w:rFonts w:ascii="Calibri" w:hAnsi="Calibri" w:cs="Calibri"/>
                <w:noProof/>
                <w:lang w:val="en-GB"/>
              </w:rPr>
              <w:t>The Project and its Data</w:t>
            </w:r>
            <w:r w:rsidR="00A33E9F">
              <w:rPr>
                <w:noProof/>
                <w:webHidden/>
              </w:rPr>
              <w:tab/>
            </w:r>
            <w:r w:rsidR="00A33E9F">
              <w:rPr>
                <w:noProof/>
                <w:webHidden/>
              </w:rPr>
              <w:fldChar w:fldCharType="begin"/>
            </w:r>
            <w:r w:rsidR="00A33E9F">
              <w:rPr>
                <w:noProof/>
                <w:webHidden/>
              </w:rPr>
              <w:instrText xml:space="preserve"> PAGEREF _Toc72997401 \h </w:instrText>
            </w:r>
            <w:r w:rsidR="00A33E9F">
              <w:rPr>
                <w:noProof/>
                <w:webHidden/>
              </w:rPr>
            </w:r>
            <w:r w:rsidR="00A33E9F">
              <w:rPr>
                <w:noProof/>
                <w:webHidden/>
              </w:rPr>
              <w:fldChar w:fldCharType="separate"/>
            </w:r>
            <w:r w:rsidR="00A33E9F">
              <w:rPr>
                <w:noProof/>
                <w:webHidden/>
              </w:rPr>
              <w:t>13</w:t>
            </w:r>
            <w:r w:rsidR="00A33E9F">
              <w:rPr>
                <w:noProof/>
                <w:webHidden/>
              </w:rPr>
              <w:fldChar w:fldCharType="end"/>
            </w:r>
          </w:hyperlink>
        </w:p>
        <w:p w14:paraId="2C0DCF8E" w14:textId="6B2B2E6B" w:rsidR="00A33E9F" w:rsidRDefault="00584D80">
          <w:pPr>
            <w:pStyle w:val="TOC1"/>
            <w:tabs>
              <w:tab w:val="right" w:leader="dot" w:pos="9350"/>
            </w:tabs>
            <w:rPr>
              <w:rFonts w:eastAsiaTheme="minorEastAsia"/>
              <w:noProof/>
              <w:lang w:val="en-GB" w:eastAsia="en-GB"/>
            </w:rPr>
          </w:pPr>
          <w:hyperlink w:anchor="_Toc72997402" w:history="1">
            <w:r w:rsidR="00A33E9F" w:rsidRPr="00107733">
              <w:rPr>
                <w:rStyle w:val="Hyperlink"/>
                <w:rFonts w:ascii="Calibri" w:hAnsi="Calibri" w:cs="Calibri"/>
                <w:noProof/>
                <w:lang w:val="en-GB"/>
              </w:rPr>
              <w:t>For more information</w:t>
            </w:r>
            <w:r w:rsidR="00A33E9F">
              <w:rPr>
                <w:noProof/>
                <w:webHidden/>
              </w:rPr>
              <w:tab/>
            </w:r>
            <w:r w:rsidR="00A33E9F">
              <w:rPr>
                <w:noProof/>
                <w:webHidden/>
              </w:rPr>
              <w:fldChar w:fldCharType="begin"/>
            </w:r>
            <w:r w:rsidR="00A33E9F">
              <w:rPr>
                <w:noProof/>
                <w:webHidden/>
              </w:rPr>
              <w:instrText xml:space="preserve"> PAGEREF _Toc72997402 \h </w:instrText>
            </w:r>
            <w:r w:rsidR="00A33E9F">
              <w:rPr>
                <w:noProof/>
                <w:webHidden/>
              </w:rPr>
            </w:r>
            <w:r w:rsidR="00A33E9F">
              <w:rPr>
                <w:noProof/>
                <w:webHidden/>
              </w:rPr>
              <w:fldChar w:fldCharType="separate"/>
            </w:r>
            <w:r w:rsidR="00A33E9F">
              <w:rPr>
                <w:noProof/>
                <w:webHidden/>
              </w:rPr>
              <w:t>15</w:t>
            </w:r>
            <w:r w:rsidR="00A33E9F">
              <w:rPr>
                <w:noProof/>
                <w:webHidden/>
              </w:rPr>
              <w:fldChar w:fldCharType="end"/>
            </w:r>
          </w:hyperlink>
        </w:p>
        <w:p w14:paraId="28E0352E" w14:textId="601EA016" w:rsidR="00A33E9F" w:rsidRDefault="00584D80">
          <w:pPr>
            <w:pStyle w:val="TOC1"/>
            <w:tabs>
              <w:tab w:val="right" w:leader="dot" w:pos="9350"/>
            </w:tabs>
            <w:rPr>
              <w:rFonts w:eastAsiaTheme="minorEastAsia"/>
              <w:noProof/>
              <w:lang w:val="en-GB" w:eastAsia="en-GB"/>
            </w:rPr>
          </w:pPr>
          <w:hyperlink w:anchor="_Toc72997403" w:history="1">
            <w:r w:rsidR="00A33E9F" w:rsidRPr="00107733">
              <w:rPr>
                <w:rStyle w:val="Hyperlink"/>
                <w:rFonts w:ascii="Calibri" w:hAnsi="Calibri" w:cs="Calibri"/>
                <w:noProof/>
                <w:lang w:val="en-GB"/>
              </w:rPr>
              <w:t>Acknowledgements</w:t>
            </w:r>
            <w:r w:rsidR="00A33E9F">
              <w:rPr>
                <w:noProof/>
                <w:webHidden/>
              </w:rPr>
              <w:tab/>
            </w:r>
            <w:r w:rsidR="00A33E9F">
              <w:rPr>
                <w:noProof/>
                <w:webHidden/>
              </w:rPr>
              <w:fldChar w:fldCharType="begin"/>
            </w:r>
            <w:r w:rsidR="00A33E9F">
              <w:rPr>
                <w:noProof/>
                <w:webHidden/>
              </w:rPr>
              <w:instrText xml:space="preserve"> PAGEREF _Toc72997403 \h </w:instrText>
            </w:r>
            <w:r w:rsidR="00A33E9F">
              <w:rPr>
                <w:noProof/>
                <w:webHidden/>
              </w:rPr>
            </w:r>
            <w:r w:rsidR="00A33E9F">
              <w:rPr>
                <w:noProof/>
                <w:webHidden/>
              </w:rPr>
              <w:fldChar w:fldCharType="separate"/>
            </w:r>
            <w:r w:rsidR="00A33E9F">
              <w:rPr>
                <w:noProof/>
                <w:webHidden/>
              </w:rPr>
              <w:t>15</w:t>
            </w:r>
            <w:r w:rsidR="00A33E9F">
              <w:rPr>
                <w:noProof/>
                <w:webHidden/>
              </w:rPr>
              <w:fldChar w:fldCharType="end"/>
            </w:r>
          </w:hyperlink>
        </w:p>
        <w:p w14:paraId="3C650133" w14:textId="6365B0E5" w:rsidR="00A33E9F" w:rsidRDefault="00584D80">
          <w:pPr>
            <w:pStyle w:val="TOC1"/>
            <w:tabs>
              <w:tab w:val="right" w:leader="dot" w:pos="9350"/>
            </w:tabs>
            <w:rPr>
              <w:rFonts w:eastAsiaTheme="minorEastAsia"/>
              <w:noProof/>
              <w:lang w:val="en-GB" w:eastAsia="en-GB"/>
            </w:rPr>
          </w:pPr>
          <w:hyperlink w:anchor="_Toc72997404" w:history="1">
            <w:r w:rsidR="00A33E9F" w:rsidRPr="00107733">
              <w:rPr>
                <w:rStyle w:val="Hyperlink"/>
                <w:rFonts w:ascii="Calibri" w:hAnsi="Calibri" w:cs="Calibri"/>
                <w:noProof/>
                <w:lang w:val="en-GB"/>
              </w:rPr>
              <w:t>Citation</w:t>
            </w:r>
            <w:r w:rsidR="00A33E9F">
              <w:rPr>
                <w:noProof/>
                <w:webHidden/>
              </w:rPr>
              <w:tab/>
            </w:r>
            <w:r w:rsidR="00A33E9F">
              <w:rPr>
                <w:noProof/>
                <w:webHidden/>
              </w:rPr>
              <w:fldChar w:fldCharType="begin"/>
            </w:r>
            <w:r w:rsidR="00A33E9F">
              <w:rPr>
                <w:noProof/>
                <w:webHidden/>
              </w:rPr>
              <w:instrText xml:space="preserve"> PAGEREF _Toc72997404 \h </w:instrText>
            </w:r>
            <w:r w:rsidR="00A33E9F">
              <w:rPr>
                <w:noProof/>
                <w:webHidden/>
              </w:rPr>
            </w:r>
            <w:r w:rsidR="00A33E9F">
              <w:rPr>
                <w:noProof/>
                <w:webHidden/>
              </w:rPr>
              <w:fldChar w:fldCharType="separate"/>
            </w:r>
            <w:r w:rsidR="00A33E9F">
              <w:rPr>
                <w:noProof/>
                <w:webHidden/>
              </w:rPr>
              <w:t>15</w:t>
            </w:r>
            <w:r w:rsidR="00A33E9F">
              <w:rPr>
                <w:noProof/>
                <w:webHidden/>
              </w:rPr>
              <w:fldChar w:fldCharType="end"/>
            </w:r>
          </w:hyperlink>
        </w:p>
        <w:p w14:paraId="3A0A3F65" w14:textId="09EBD30E" w:rsidR="00666639" w:rsidRPr="00395CF0" w:rsidRDefault="005F0458">
          <w:pPr>
            <w:rPr>
              <w:rFonts w:ascii="Calibri" w:hAnsi="Calibri" w:cs="Calibri"/>
            </w:rPr>
          </w:pPr>
          <w:r w:rsidRPr="00395CF0">
            <w:rPr>
              <w:rFonts w:ascii="Calibri" w:hAnsi="Calibri" w:cs="Calibri"/>
            </w:rPr>
            <w:fldChar w:fldCharType="end"/>
          </w:r>
        </w:p>
      </w:sdtContent>
    </w:sdt>
    <w:p w14:paraId="2A7CA50A" w14:textId="77777777" w:rsidR="001F5E90" w:rsidRPr="00395CF0" w:rsidRDefault="001F5E90">
      <w:pPr>
        <w:pStyle w:val="Heading1"/>
        <w:rPr>
          <w:rFonts w:ascii="Calibri" w:hAnsi="Calibri" w:cs="Calibri"/>
          <w:lang w:val="en-GB"/>
        </w:rPr>
        <w:sectPr w:rsidR="001F5E90" w:rsidRPr="00395CF0">
          <w:pgSz w:w="12240" w:h="15840"/>
          <w:pgMar w:top="1440" w:right="1440" w:bottom="1440" w:left="1440" w:header="720" w:footer="720" w:gutter="0"/>
          <w:cols w:space="720"/>
        </w:sectPr>
      </w:pPr>
      <w:bookmarkStart w:id="0" w:name="introduction"/>
    </w:p>
    <w:p w14:paraId="3A0A3F66" w14:textId="493C5459" w:rsidR="00666639" w:rsidRPr="00395CF0" w:rsidRDefault="005F0458">
      <w:pPr>
        <w:pStyle w:val="Heading1"/>
        <w:rPr>
          <w:rFonts w:ascii="Calibri" w:hAnsi="Calibri" w:cs="Calibri"/>
          <w:lang w:val="en-GB"/>
        </w:rPr>
      </w:pPr>
      <w:bookmarkStart w:id="1" w:name="_Toc72997392"/>
      <w:r w:rsidRPr="00395CF0">
        <w:rPr>
          <w:rFonts w:ascii="Calibri" w:hAnsi="Calibri" w:cs="Calibri"/>
          <w:lang w:val="en-GB"/>
        </w:rPr>
        <w:lastRenderedPageBreak/>
        <w:t>Introduction</w:t>
      </w:r>
      <w:bookmarkEnd w:id="1"/>
    </w:p>
    <w:p w14:paraId="3A0A3F67" w14:textId="038ADD93" w:rsidR="00666639" w:rsidRPr="00395CF0" w:rsidRDefault="005F0458" w:rsidP="00993788">
      <w:pPr>
        <w:pStyle w:val="FirstParagraph"/>
        <w:jc w:val="both"/>
        <w:rPr>
          <w:rFonts w:ascii="Calibri" w:hAnsi="Calibri" w:cs="Calibri"/>
          <w:lang w:val="en-GB"/>
        </w:rPr>
      </w:pPr>
      <w:r w:rsidRPr="00395CF0">
        <w:rPr>
          <w:rFonts w:ascii="Calibri" w:hAnsi="Calibri" w:cs="Calibri"/>
          <w:lang w:val="en-GB"/>
        </w:rPr>
        <w:t>The COVID-19 outbreak has had substantial consequences for the working lives of men and women. Generally, economic recessions affect men’s employment levels the most</w:t>
      </w:r>
      <w:r w:rsidR="00A33E9F">
        <w:rPr>
          <w:rFonts w:ascii="Calibri" w:hAnsi="Calibri" w:cs="Calibri"/>
          <w:lang w:val="en-GB"/>
        </w:rPr>
        <w:t xml:space="preserve"> in the UK</w:t>
      </w:r>
      <w:r w:rsidRPr="00395CF0">
        <w:rPr>
          <w:rFonts w:ascii="Calibri" w:hAnsi="Calibri" w:cs="Calibri"/>
          <w:lang w:val="en-GB"/>
        </w:rPr>
        <w:t>, but this is not a typical recession. Measures adopted by businesses and governments, such as flexible working and the job retention scheme in the UK, may be mitigating the impacts of the pandemic in ways not comparable to previous social and economic crises.</w:t>
      </w:r>
    </w:p>
    <w:p w14:paraId="3A0A3F68" w14:textId="77777777" w:rsidR="00666639" w:rsidRPr="00395CF0" w:rsidRDefault="005F0458" w:rsidP="00993788">
      <w:pPr>
        <w:pStyle w:val="BodyText"/>
        <w:jc w:val="both"/>
        <w:rPr>
          <w:rFonts w:ascii="Calibri" w:hAnsi="Calibri" w:cs="Calibri"/>
          <w:lang w:val="en-GB"/>
        </w:rPr>
      </w:pPr>
      <w:r w:rsidRPr="00395CF0">
        <w:rPr>
          <w:rFonts w:ascii="Calibri" w:hAnsi="Calibri" w:cs="Calibri"/>
          <w:lang w:val="en-GB"/>
        </w:rPr>
        <w:t>However, lockdowns and social distancing measures may be having an unequal impact on jobs frequently done by women. While women today have greater access to paid employment, they have historically been more limited in their choices of employment than men, they tend to work in more unstable and precarious conditions than men, and they are over-represented in mid- or low-skilled occupations. These disadvantages in paid work are experienced even more intensely by working class women and/or those women from minority ethnic groups.</w:t>
      </w:r>
    </w:p>
    <w:p w14:paraId="1FDADA67" w14:textId="77777777" w:rsidR="00E16C85" w:rsidRDefault="005F0458" w:rsidP="006642C5">
      <w:pPr>
        <w:pStyle w:val="FirstParagraph"/>
        <w:jc w:val="both"/>
        <w:rPr>
          <w:rFonts w:ascii="Calibri" w:hAnsi="Calibri" w:cs="Calibri"/>
          <w:lang w:val="en-GB"/>
        </w:rPr>
      </w:pPr>
      <w:r w:rsidRPr="00395CF0">
        <w:rPr>
          <w:rFonts w:ascii="Calibri" w:hAnsi="Calibri" w:cs="Calibri"/>
          <w:lang w:val="en-GB"/>
        </w:rPr>
        <w:t xml:space="preserve">In this </w:t>
      </w:r>
      <w:r w:rsidR="00952ED2">
        <w:rPr>
          <w:rFonts w:ascii="Calibri" w:hAnsi="Calibri" w:cs="Calibri"/>
          <w:lang w:val="en-GB"/>
        </w:rPr>
        <w:t>summary report</w:t>
      </w:r>
      <w:r w:rsidRPr="00395CF0">
        <w:rPr>
          <w:rFonts w:ascii="Calibri" w:hAnsi="Calibri" w:cs="Calibri"/>
          <w:lang w:val="en-GB"/>
        </w:rPr>
        <w:t>, we ask if the pandemic is narrowing or reinforcing existing inequalities in levels of unemployment. To answer this question, we use the UK’s largest study on employment circumstances, the Labour Force Survey (LFS), drawing on analysis of the 2019/20/21 releases. More specifically, we ask how unemployment rates have differed between men and women overall, and between different age, ethnic and occupational class groups during the pandemic; and who lost their jobs and why.</w:t>
      </w:r>
      <w:r w:rsidR="00AD72E7" w:rsidRPr="00395CF0">
        <w:rPr>
          <w:rFonts w:ascii="Calibri" w:hAnsi="Calibri" w:cs="Calibri"/>
          <w:lang w:val="en-GB"/>
        </w:rPr>
        <w:t xml:space="preserve"> </w:t>
      </w:r>
    </w:p>
    <w:p w14:paraId="3A0A3F69" w14:textId="4F4DCB74" w:rsidR="00666639" w:rsidRPr="00395CF0" w:rsidRDefault="00AD72E7" w:rsidP="006642C5">
      <w:pPr>
        <w:pStyle w:val="FirstParagraph"/>
        <w:jc w:val="both"/>
        <w:rPr>
          <w:rFonts w:ascii="Calibri" w:hAnsi="Calibri" w:cs="Calibri"/>
          <w:lang w:val="en-GB"/>
        </w:rPr>
      </w:pPr>
      <w:r w:rsidRPr="005F29AD">
        <w:rPr>
          <w:rFonts w:ascii="Calibri" w:hAnsi="Calibri" w:cs="Calibri"/>
          <w:lang w:val="en-GB"/>
        </w:rPr>
        <w:t xml:space="preserve">Our analyses </w:t>
      </w:r>
      <w:r w:rsidR="00952ED2" w:rsidRPr="005F29AD">
        <w:rPr>
          <w:rFonts w:ascii="Calibri" w:hAnsi="Calibri" w:cs="Calibri"/>
          <w:lang w:val="en-GB"/>
        </w:rPr>
        <w:t xml:space="preserve">in this report </w:t>
      </w:r>
      <w:r w:rsidRPr="005F29AD">
        <w:rPr>
          <w:rFonts w:ascii="Calibri" w:hAnsi="Calibri" w:cs="Calibri"/>
          <w:lang w:val="en-GB"/>
        </w:rPr>
        <w:t>consider only the economically active population</w:t>
      </w:r>
      <w:r w:rsidR="00D95D8D" w:rsidRPr="005F29AD">
        <w:rPr>
          <w:rFonts w:ascii="Calibri" w:hAnsi="Calibri" w:cs="Calibri"/>
          <w:lang w:val="en-GB"/>
        </w:rPr>
        <w:t xml:space="preserve"> aged</w:t>
      </w:r>
      <w:r w:rsidRPr="005F29AD">
        <w:rPr>
          <w:rFonts w:ascii="Calibri" w:hAnsi="Calibri" w:cs="Calibri"/>
          <w:lang w:val="en-GB"/>
        </w:rPr>
        <w:t xml:space="preserve"> between 18-64. </w:t>
      </w:r>
      <w:r w:rsidR="00952ED2" w:rsidRPr="005F29AD">
        <w:rPr>
          <w:rFonts w:ascii="Calibri" w:hAnsi="Calibri" w:cs="Calibri"/>
          <w:lang w:val="en-GB"/>
        </w:rPr>
        <w:t>Far more women than men are outside the formal labour force, sometimes</w:t>
      </w:r>
      <w:r w:rsidR="00A33E9F" w:rsidRPr="005F29AD">
        <w:rPr>
          <w:rFonts w:ascii="Calibri" w:hAnsi="Calibri" w:cs="Calibri"/>
          <w:lang w:val="en-GB"/>
        </w:rPr>
        <w:t xml:space="preserve"> (</w:t>
      </w:r>
      <w:r w:rsidR="00952ED2" w:rsidRPr="005F29AD">
        <w:rPr>
          <w:rFonts w:ascii="Calibri" w:hAnsi="Calibri" w:cs="Calibri"/>
          <w:lang w:val="en-GB"/>
        </w:rPr>
        <w:t>problematically</w:t>
      </w:r>
      <w:r w:rsidR="00A33E9F" w:rsidRPr="005F29AD">
        <w:rPr>
          <w:rFonts w:ascii="Calibri" w:hAnsi="Calibri" w:cs="Calibri"/>
          <w:lang w:val="en-GB"/>
        </w:rPr>
        <w:t>)</w:t>
      </w:r>
      <w:r w:rsidR="00952ED2" w:rsidRPr="005F29AD">
        <w:rPr>
          <w:rFonts w:ascii="Calibri" w:hAnsi="Calibri" w:cs="Calibri"/>
          <w:lang w:val="en-GB"/>
        </w:rPr>
        <w:t xml:space="preserve"> </w:t>
      </w:r>
      <w:r w:rsidR="00A33E9F" w:rsidRPr="005F29AD">
        <w:rPr>
          <w:rFonts w:ascii="Calibri" w:hAnsi="Calibri" w:cs="Calibri"/>
          <w:lang w:val="en-GB"/>
        </w:rPr>
        <w:t xml:space="preserve">termed </w:t>
      </w:r>
      <w:r w:rsidR="00952ED2" w:rsidRPr="005F29AD">
        <w:rPr>
          <w:rFonts w:ascii="Calibri" w:hAnsi="Calibri" w:cs="Calibri"/>
          <w:lang w:val="en-GB"/>
        </w:rPr>
        <w:t>‘economically inactive’ even though they are involved in crucial unpaid domestic work and caring that are both essentia</w:t>
      </w:r>
      <w:r w:rsidR="00D95D8D" w:rsidRPr="005F29AD">
        <w:rPr>
          <w:rFonts w:ascii="Calibri" w:hAnsi="Calibri" w:cs="Calibri"/>
          <w:lang w:val="en-GB"/>
        </w:rPr>
        <w:t xml:space="preserve">l </w:t>
      </w:r>
      <w:r w:rsidR="00952ED2" w:rsidRPr="005F29AD">
        <w:rPr>
          <w:rFonts w:ascii="Calibri" w:hAnsi="Calibri" w:cs="Calibri"/>
          <w:lang w:val="en-GB"/>
        </w:rPr>
        <w:t>to the running of the economy.</w:t>
      </w:r>
      <w:r w:rsidR="00A33E9F" w:rsidRPr="005F29AD">
        <w:rPr>
          <w:rFonts w:ascii="Calibri" w:hAnsi="Calibri" w:cs="Calibri"/>
          <w:lang w:val="en-GB"/>
        </w:rPr>
        <w:t xml:space="preserve"> We address women’s </w:t>
      </w:r>
      <w:r w:rsidR="00D95D8D" w:rsidRPr="005F29AD">
        <w:rPr>
          <w:rFonts w:ascii="Calibri" w:hAnsi="Calibri" w:cs="Calibri"/>
          <w:lang w:val="en-GB"/>
        </w:rPr>
        <w:t xml:space="preserve">intensified </w:t>
      </w:r>
      <w:r w:rsidR="00A33E9F" w:rsidRPr="005F29AD">
        <w:rPr>
          <w:rFonts w:ascii="Calibri" w:hAnsi="Calibri" w:cs="Calibri"/>
          <w:lang w:val="en-GB"/>
        </w:rPr>
        <w:t xml:space="preserve">unpaid work </w:t>
      </w:r>
      <w:r w:rsidR="00D95D8D" w:rsidRPr="005F29AD">
        <w:rPr>
          <w:rFonts w:ascii="Calibri" w:hAnsi="Calibri" w:cs="Calibri"/>
          <w:lang w:val="en-GB"/>
        </w:rPr>
        <w:t xml:space="preserve">and caring </w:t>
      </w:r>
      <w:r w:rsidR="00A33E9F" w:rsidRPr="005F29AD">
        <w:rPr>
          <w:rFonts w:ascii="Calibri" w:hAnsi="Calibri" w:cs="Calibri"/>
          <w:lang w:val="en-GB"/>
        </w:rPr>
        <w:t xml:space="preserve">during the pandemic in our </w:t>
      </w:r>
      <w:hyperlink r:id="rId14" w:history="1">
        <w:r w:rsidR="00A33E9F" w:rsidRPr="005F29AD">
          <w:rPr>
            <w:rStyle w:val="Hyperlink"/>
            <w:rFonts w:ascii="Calibri" w:hAnsi="Calibri" w:cs="Calibri"/>
            <w:lang w:val="en-GB"/>
          </w:rPr>
          <w:t>sister project</w:t>
        </w:r>
      </w:hyperlink>
      <w:r w:rsidR="00A33E9F" w:rsidRPr="005F29AD">
        <w:rPr>
          <w:rFonts w:ascii="Calibri" w:hAnsi="Calibri" w:cs="Calibri"/>
          <w:lang w:val="en-GB"/>
        </w:rPr>
        <w:t>.</w:t>
      </w:r>
    </w:p>
    <w:p w14:paraId="3A0A3F6A" w14:textId="77777777" w:rsidR="00666639" w:rsidRPr="00395CF0" w:rsidRDefault="005F0458">
      <w:pPr>
        <w:pStyle w:val="Heading1"/>
        <w:rPr>
          <w:rFonts w:ascii="Calibri" w:hAnsi="Calibri" w:cs="Calibri"/>
          <w:lang w:val="en-GB"/>
        </w:rPr>
      </w:pPr>
      <w:bookmarkStart w:id="2" w:name="_Toc72997393"/>
      <w:bookmarkStart w:id="3" w:name="Xdc3928e8a6af30f6a7477e57884590689424c9b"/>
      <w:bookmarkEnd w:id="0"/>
      <w:r w:rsidRPr="00395CF0">
        <w:rPr>
          <w:rFonts w:ascii="Calibri" w:hAnsi="Calibri" w:cs="Calibri"/>
          <w:lang w:val="en-GB"/>
        </w:rPr>
        <w:t>Gender impact of COVID-19 on employment trends</w:t>
      </w:r>
      <w:bookmarkEnd w:id="2"/>
    </w:p>
    <w:p w14:paraId="3A0A3F6B" w14:textId="77777777" w:rsidR="00666639" w:rsidRPr="00395CF0" w:rsidRDefault="005F0458">
      <w:pPr>
        <w:pStyle w:val="Heading2"/>
        <w:rPr>
          <w:rFonts w:ascii="Calibri" w:hAnsi="Calibri" w:cs="Calibri"/>
          <w:lang w:val="en-GB"/>
        </w:rPr>
      </w:pPr>
      <w:bookmarkStart w:id="4" w:name="_Toc72997394"/>
      <w:bookmarkStart w:id="5" w:name="mens-unemployment-hit-the-most"/>
      <w:r w:rsidRPr="00395CF0">
        <w:rPr>
          <w:rFonts w:ascii="Calibri" w:hAnsi="Calibri" w:cs="Calibri"/>
          <w:lang w:val="en-GB"/>
        </w:rPr>
        <w:t>Men’s unemployment hit the most</w:t>
      </w:r>
      <w:bookmarkEnd w:id="4"/>
    </w:p>
    <w:p w14:paraId="3A0A3F6C" w14:textId="43D8F61C"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Unemployment among men increased from below 4% up to April/June 2020 to over 5% from June/August 2020, with a peak during summer 2020. From September/November, unemployment among both men and women showed signs of stabilisation and a slight decline. However, in early 2021, unemployment remained 1% over pre-pandemic rates.</w:t>
      </w:r>
    </w:p>
    <w:p w14:paraId="76C3F253" w14:textId="72169EBE" w:rsidR="00C64A53" w:rsidRPr="00395CF0" w:rsidRDefault="00C64A53" w:rsidP="00C64A53">
      <w:pPr>
        <w:pStyle w:val="BodyText"/>
        <w:jc w:val="both"/>
        <w:rPr>
          <w:rFonts w:ascii="Calibri" w:hAnsi="Calibri" w:cs="Calibri"/>
          <w:lang w:val="en-GB"/>
        </w:rPr>
      </w:pPr>
      <w:r w:rsidRPr="00395CF0">
        <w:rPr>
          <w:rFonts w:ascii="Calibri" w:hAnsi="Calibri" w:cs="Calibri"/>
          <w:lang w:val="en-GB"/>
        </w:rPr>
        <w:t>This overall trend is useful to understand the extent of the COVID-19 impact on unemployment rates, as well as the months during which those impacts were felt the most (e.g., how unemployment increased after the first lockdown). However, this overall picture glosses over the diversity of the UK population in terms of age, ethnicity, and class. We further explore these factors in the following sections.</w:t>
      </w:r>
    </w:p>
    <w:p w14:paraId="68D4CA05" w14:textId="77777777" w:rsidR="00C64A53" w:rsidRPr="00395CF0" w:rsidRDefault="00C64A53" w:rsidP="00C64A53">
      <w:pPr>
        <w:pStyle w:val="BodyText"/>
        <w:jc w:val="both"/>
        <w:rPr>
          <w:rFonts w:ascii="Calibri" w:hAnsi="Calibri" w:cs="Calibri"/>
          <w:lang w:val="en-GB"/>
        </w:rPr>
      </w:pPr>
    </w:p>
    <w:p w14:paraId="3A0A3F6D" w14:textId="77777777" w:rsidR="00666639" w:rsidRPr="00395CF0" w:rsidRDefault="005F0458" w:rsidP="000554E1">
      <w:pPr>
        <w:pStyle w:val="BodyText"/>
        <w:jc w:val="center"/>
        <w:rPr>
          <w:rFonts w:ascii="Calibri" w:hAnsi="Calibri" w:cs="Calibri"/>
          <w:lang w:val="en-GB"/>
        </w:rPr>
      </w:pPr>
      <w:r w:rsidRPr="00395CF0">
        <w:rPr>
          <w:rFonts w:ascii="Calibri" w:hAnsi="Calibri" w:cs="Calibri"/>
          <w:noProof/>
          <w:lang w:val="en-GB"/>
        </w:rPr>
        <w:drawing>
          <wp:inline distT="0" distB="0" distL="0" distR="0" wp14:anchorId="3A0A3FEF" wp14:editId="5A4108DA">
            <wp:extent cx="5849693" cy="33951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unemployment-1.png"/>
                    <pic:cNvPicPr>
                      <a:picLocks noChangeAspect="1" noChangeArrowheads="1"/>
                    </pic:cNvPicPr>
                  </pic:nvPicPr>
                  <pic:blipFill rotWithShape="1">
                    <a:blip r:embed="rId15"/>
                    <a:srcRect r="7977"/>
                    <a:stretch/>
                  </pic:blipFill>
                  <pic:spPr bwMode="auto">
                    <a:xfrm>
                      <a:off x="0" y="0"/>
                      <a:ext cx="5849693" cy="3395133"/>
                    </a:xfrm>
                    <a:prstGeom prst="rect">
                      <a:avLst/>
                    </a:prstGeom>
                    <a:noFill/>
                    <a:ln>
                      <a:noFill/>
                    </a:ln>
                    <a:extLst>
                      <a:ext uri="{53640926-AAD7-44D8-BBD7-CCE9431645EC}">
                        <a14:shadowObscured xmlns:a14="http://schemas.microsoft.com/office/drawing/2010/main"/>
                      </a:ext>
                    </a:extLst>
                  </pic:spPr>
                </pic:pic>
              </a:graphicData>
            </a:graphic>
          </wp:inline>
        </w:drawing>
      </w:r>
    </w:p>
    <w:p w14:paraId="3A0A3F6F" w14:textId="77777777" w:rsidR="00666639" w:rsidRPr="00395CF0" w:rsidRDefault="005F0458">
      <w:pPr>
        <w:pStyle w:val="Heading2"/>
        <w:rPr>
          <w:rFonts w:ascii="Calibri" w:hAnsi="Calibri" w:cs="Calibri"/>
          <w:lang w:val="en-GB"/>
        </w:rPr>
      </w:pPr>
      <w:bookmarkStart w:id="6" w:name="_Toc72997395"/>
      <w:bookmarkStart w:id="7" w:name="highest-job-loss-among-young-people"/>
      <w:bookmarkEnd w:id="5"/>
      <w:r w:rsidRPr="00395CF0">
        <w:rPr>
          <w:rFonts w:ascii="Calibri" w:hAnsi="Calibri" w:cs="Calibri"/>
          <w:lang w:val="en-GB"/>
        </w:rPr>
        <w:t>Highest job loss among young people</w:t>
      </w:r>
      <w:bookmarkEnd w:id="6"/>
    </w:p>
    <w:p w14:paraId="3A0A3F70" w14:textId="66362F52"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Compared to 2019, 2020 had higher levels of unemployment overall. When age groups are considered, there was a concerning growth unemployment for people aged between 18 and 24 (Figure 2). For this age group, the rate of unemployment reached over 17% for men and 12% for women in summer 2020, from a year start of 11% and 9%, respectively. Shops, pubs, restaurants, and entertainment venues, i.e. those businesses where young people are frequently employed, were unable to fully open.</w:t>
      </w:r>
    </w:p>
    <w:p w14:paraId="5165B821" w14:textId="14F12912" w:rsidR="00A26C45" w:rsidRPr="00395CF0" w:rsidRDefault="00A26C45" w:rsidP="00A26C45">
      <w:pPr>
        <w:pStyle w:val="BodyText"/>
        <w:jc w:val="both"/>
        <w:rPr>
          <w:rFonts w:ascii="Calibri" w:hAnsi="Calibri" w:cs="Calibri"/>
          <w:lang w:val="en-GB"/>
        </w:rPr>
      </w:pPr>
      <w:r w:rsidRPr="00395CF0">
        <w:rPr>
          <w:rFonts w:ascii="Calibri" w:hAnsi="Calibri" w:cs="Calibri"/>
          <w:lang w:val="en-GB"/>
        </w:rPr>
        <w:t xml:space="preserve">Looking at </w:t>
      </w:r>
      <w:r w:rsidR="00D95D8D">
        <w:rPr>
          <w:rFonts w:ascii="Calibri" w:hAnsi="Calibri" w:cs="Calibri"/>
          <w:lang w:val="en-GB"/>
        </w:rPr>
        <w:t>F</w:t>
      </w:r>
      <w:r w:rsidRPr="00395CF0">
        <w:rPr>
          <w:rFonts w:ascii="Calibri" w:hAnsi="Calibri" w:cs="Calibri"/>
          <w:lang w:val="en-GB"/>
        </w:rPr>
        <w:t xml:space="preserve">igure </w:t>
      </w:r>
      <w:r w:rsidR="00D95D8D">
        <w:rPr>
          <w:rFonts w:ascii="Calibri" w:hAnsi="Calibri" w:cs="Calibri"/>
          <w:lang w:val="en-GB"/>
        </w:rPr>
        <w:t>2</w:t>
      </w:r>
      <w:r w:rsidRPr="00395CF0">
        <w:rPr>
          <w:rFonts w:ascii="Calibri" w:hAnsi="Calibri" w:cs="Calibri"/>
          <w:lang w:val="en-GB"/>
        </w:rPr>
        <w:t>, young men saw an increase in unemployment of up to 4% in July/September 2020 compared to 2019. Similarly, women’s unemployment rose up to 2% in August/October 2020. While younger men’s employment started to show signs of recovery in August/October 2020, unemployment levels for women remained constant until the September/November quarter.</w:t>
      </w:r>
    </w:p>
    <w:p w14:paraId="43488D68" w14:textId="77777777" w:rsidR="00A26C45" w:rsidRPr="00395CF0" w:rsidRDefault="00A26C45" w:rsidP="00A26C45">
      <w:pPr>
        <w:pStyle w:val="BodyText"/>
        <w:rPr>
          <w:lang w:val="en-GB"/>
        </w:rPr>
      </w:pPr>
    </w:p>
    <w:p w14:paraId="3A0A3F71" w14:textId="77777777" w:rsidR="00666639" w:rsidRPr="00395CF0" w:rsidRDefault="005F0458">
      <w:pPr>
        <w:pStyle w:val="BodyText"/>
        <w:rPr>
          <w:rFonts w:ascii="Calibri" w:hAnsi="Calibri" w:cs="Calibri"/>
          <w:lang w:val="en-GB"/>
        </w:rPr>
      </w:pPr>
      <w:r w:rsidRPr="00395CF0">
        <w:rPr>
          <w:rFonts w:ascii="Calibri" w:hAnsi="Calibri" w:cs="Calibri"/>
          <w:noProof/>
          <w:lang w:val="en-GB"/>
        </w:rPr>
        <w:lastRenderedPageBreak/>
        <w:drawing>
          <wp:inline distT="0" distB="0" distL="0" distR="0" wp14:anchorId="3A0A3FF1" wp14:editId="60958944">
            <wp:extent cx="5909310" cy="3759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age-1.png"/>
                    <pic:cNvPicPr>
                      <a:picLocks noChangeAspect="1" noChangeArrowheads="1"/>
                    </pic:cNvPicPr>
                  </pic:nvPicPr>
                  <pic:blipFill rotWithShape="1">
                    <a:blip r:embed="rId16"/>
                    <a:srcRect r="5769"/>
                    <a:stretch/>
                  </pic:blipFill>
                  <pic:spPr bwMode="auto">
                    <a:xfrm>
                      <a:off x="0" y="0"/>
                      <a:ext cx="5915661" cy="3763240"/>
                    </a:xfrm>
                    <a:prstGeom prst="rect">
                      <a:avLst/>
                    </a:prstGeom>
                    <a:noFill/>
                    <a:ln>
                      <a:noFill/>
                    </a:ln>
                    <a:extLst>
                      <a:ext uri="{53640926-AAD7-44D8-BBD7-CCE9431645EC}">
                        <a14:shadowObscured xmlns:a14="http://schemas.microsoft.com/office/drawing/2010/main"/>
                      </a:ext>
                    </a:extLst>
                  </pic:spPr>
                </pic:pic>
              </a:graphicData>
            </a:graphic>
          </wp:inline>
        </w:drawing>
      </w:r>
    </w:p>
    <w:p w14:paraId="3A0A3F73" w14:textId="7C0D907D"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Other age groups also </w:t>
      </w:r>
      <w:r w:rsidR="00D95D8D">
        <w:rPr>
          <w:rFonts w:ascii="Calibri" w:hAnsi="Calibri" w:cs="Calibri"/>
          <w:lang w:val="en-GB"/>
        </w:rPr>
        <w:t xml:space="preserve">saw </w:t>
      </w:r>
      <w:r w:rsidRPr="00395CF0">
        <w:rPr>
          <w:rFonts w:ascii="Calibri" w:hAnsi="Calibri" w:cs="Calibri"/>
          <w:lang w:val="en-GB"/>
        </w:rPr>
        <w:t xml:space="preserve">higher unemployment during 2020 than in the pre-pandemic year. Men and women aged between 25 and 29 </w:t>
      </w:r>
      <w:r w:rsidR="00D95D8D">
        <w:rPr>
          <w:rFonts w:ascii="Calibri" w:hAnsi="Calibri" w:cs="Calibri"/>
          <w:lang w:val="en-GB"/>
        </w:rPr>
        <w:t xml:space="preserve">experienced </w:t>
      </w:r>
      <w:r w:rsidRPr="00395CF0">
        <w:rPr>
          <w:rFonts w:ascii="Calibri" w:hAnsi="Calibri" w:cs="Calibri"/>
          <w:lang w:val="en-GB"/>
        </w:rPr>
        <w:t>an increase of up to 2%. However, the last two quarters in 2020 show</w:t>
      </w:r>
      <w:r w:rsidR="00D95D8D">
        <w:rPr>
          <w:rFonts w:ascii="Calibri" w:hAnsi="Calibri" w:cs="Calibri"/>
          <w:lang w:val="en-GB"/>
        </w:rPr>
        <w:t>ed</w:t>
      </w:r>
      <w:r w:rsidRPr="00395CF0">
        <w:rPr>
          <w:rFonts w:ascii="Calibri" w:hAnsi="Calibri" w:cs="Calibri"/>
          <w:lang w:val="en-GB"/>
        </w:rPr>
        <w:t xml:space="preserve"> some signs of recovery for this age group.</w:t>
      </w:r>
    </w:p>
    <w:p w14:paraId="3A0A3F74" w14:textId="353F5AD4" w:rsidR="00666639" w:rsidRPr="00395CF0" w:rsidRDefault="00D95D8D" w:rsidP="00720BC9">
      <w:pPr>
        <w:pStyle w:val="BodyText"/>
        <w:jc w:val="both"/>
        <w:rPr>
          <w:rFonts w:ascii="Calibri" w:hAnsi="Calibri" w:cs="Calibri"/>
          <w:lang w:val="en-GB"/>
        </w:rPr>
      </w:pPr>
      <w:r>
        <w:rPr>
          <w:rFonts w:ascii="Calibri" w:hAnsi="Calibri" w:cs="Calibri"/>
          <w:lang w:val="en-GB"/>
        </w:rPr>
        <w:t>O</w:t>
      </w:r>
      <w:r w:rsidR="005F0458" w:rsidRPr="00395CF0">
        <w:rPr>
          <w:rFonts w:ascii="Calibri" w:hAnsi="Calibri" w:cs="Calibri"/>
          <w:lang w:val="en-GB"/>
        </w:rPr>
        <w:t>lder workers, e.g. those aged between 50 and 64, were not fully protected from the negative impacts of the pandemic. Their unemployment rates also increased (up to 2% if the highest points in 2019 and 2020</w:t>
      </w:r>
      <w:r>
        <w:rPr>
          <w:rFonts w:ascii="Calibri" w:hAnsi="Calibri" w:cs="Calibri"/>
          <w:lang w:val="en-GB"/>
        </w:rPr>
        <w:t xml:space="preserve"> are compared</w:t>
      </w:r>
      <w:r w:rsidR="005F0458" w:rsidRPr="00395CF0">
        <w:rPr>
          <w:rFonts w:ascii="Calibri" w:hAnsi="Calibri" w:cs="Calibri"/>
          <w:lang w:val="en-GB"/>
        </w:rPr>
        <w:t>). Although early signs of stabilisation can be seen for this group as 2020 came to an end, the</w:t>
      </w:r>
      <w:r>
        <w:rPr>
          <w:rFonts w:ascii="Calibri" w:hAnsi="Calibri" w:cs="Calibri"/>
          <w:lang w:val="en-GB"/>
        </w:rPr>
        <w:t>ir</w:t>
      </w:r>
      <w:r w:rsidR="005F0458" w:rsidRPr="00395CF0">
        <w:rPr>
          <w:rFonts w:ascii="Calibri" w:hAnsi="Calibri" w:cs="Calibri"/>
          <w:lang w:val="en-GB"/>
        </w:rPr>
        <w:t xml:space="preserve"> road to recovery seems to be slower when compared to the younger age groups.</w:t>
      </w:r>
    </w:p>
    <w:p w14:paraId="25FF46C5" w14:textId="77777777" w:rsidR="00720BC9" w:rsidRPr="00395CF0" w:rsidRDefault="00720BC9">
      <w:pPr>
        <w:pStyle w:val="BodyText"/>
        <w:rPr>
          <w:rFonts w:ascii="Calibri" w:hAnsi="Calibri" w:cs="Calibri"/>
          <w:lang w:val="en-GB"/>
        </w:rPr>
      </w:pPr>
    </w:p>
    <w:p w14:paraId="3A0A3F75" w14:textId="77777777" w:rsidR="00666639" w:rsidRPr="00395CF0" w:rsidRDefault="005F0458">
      <w:pPr>
        <w:pStyle w:val="Heading2"/>
        <w:rPr>
          <w:rFonts w:ascii="Calibri" w:hAnsi="Calibri" w:cs="Calibri"/>
          <w:lang w:val="en-GB"/>
        </w:rPr>
      </w:pPr>
      <w:bookmarkStart w:id="8" w:name="_Toc72997396"/>
      <w:bookmarkStart w:id="9" w:name="X7bd0984bac2c2796761b4f2ecb9af177f7fdbef"/>
      <w:bookmarkEnd w:id="7"/>
      <w:r w:rsidRPr="00395CF0">
        <w:rPr>
          <w:rFonts w:ascii="Calibri" w:hAnsi="Calibri" w:cs="Calibri"/>
          <w:lang w:val="en-GB"/>
        </w:rPr>
        <w:t>People from minority ethnic backgrounds have been hit the hardest</w:t>
      </w:r>
      <w:bookmarkEnd w:id="8"/>
    </w:p>
    <w:p w14:paraId="3A0A3F76" w14:textId="5A8C50C7"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For most minority ethnic groups, the COVID-19 pandemic has led to worrying growths in rates of unemployment. The white and minority-ethnic unemployment gap widened since the start of the pandemic: while 2020 started with a gap of 3%, by the end of 2020 the gap was 5% (Figure 3).</w:t>
      </w:r>
    </w:p>
    <w:p w14:paraId="3A0A3F77" w14:textId="77777777" w:rsidR="00666639" w:rsidRPr="00395CF0" w:rsidRDefault="005F0458" w:rsidP="00770ABC">
      <w:pPr>
        <w:pStyle w:val="BodyText"/>
        <w:jc w:val="center"/>
        <w:rPr>
          <w:rFonts w:ascii="Calibri" w:hAnsi="Calibri" w:cs="Calibri"/>
          <w:lang w:val="en-GB"/>
        </w:rPr>
      </w:pPr>
      <w:r w:rsidRPr="00395CF0">
        <w:rPr>
          <w:rFonts w:ascii="Calibri" w:hAnsi="Calibri" w:cs="Calibri"/>
          <w:noProof/>
          <w:lang w:val="en-GB"/>
        </w:rPr>
        <w:lastRenderedPageBreak/>
        <w:drawing>
          <wp:inline distT="0" distB="0" distL="0" distR="0" wp14:anchorId="3A0A3FF3" wp14:editId="0FB6B21A">
            <wp:extent cx="5714788" cy="330111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ethnicity-1.png"/>
                    <pic:cNvPicPr>
                      <a:picLocks noChangeAspect="1" noChangeArrowheads="1"/>
                    </pic:cNvPicPr>
                  </pic:nvPicPr>
                  <pic:blipFill rotWithShape="1">
                    <a:blip r:embed="rId17"/>
                    <a:srcRect r="7603"/>
                    <a:stretch/>
                  </pic:blipFill>
                  <pic:spPr bwMode="auto">
                    <a:xfrm>
                      <a:off x="0" y="0"/>
                      <a:ext cx="5729536" cy="3309630"/>
                    </a:xfrm>
                    <a:prstGeom prst="rect">
                      <a:avLst/>
                    </a:prstGeom>
                    <a:noFill/>
                    <a:ln>
                      <a:noFill/>
                    </a:ln>
                    <a:extLst>
                      <a:ext uri="{53640926-AAD7-44D8-BBD7-CCE9431645EC}">
                        <a14:shadowObscured xmlns:a14="http://schemas.microsoft.com/office/drawing/2010/main"/>
                      </a:ext>
                    </a:extLst>
                  </pic:spPr>
                </pic:pic>
              </a:graphicData>
            </a:graphic>
          </wp:inline>
        </w:drawing>
      </w:r>
    </w:p>
    <w:p w14:paraId="3A0A3F78" w14:textId="0C1838BF"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In addition, when specific ethnic groups are </w:t>
      </w:r>
      <w:r w:rsidR="00D95D8D">
        <w:rPr>
          <w:rFonts w:ascii="Calibri" w:hAnsi="Calibri" w:cs="Calibri"/>
          <w:lang w:val="en-GB"/>
        </w:rPr>
        <w:t xml:space="preserve">examined </w:t>
      </w:r>
      <w:r w:rsidRPr="00395CF0">
        <w:rPr>
          <w:rFonts w:ascii="Calibri" w:hAnsi="Calibri" w:cs="Calibri"/>
          <w:lang w:val="en-GB"/>
        </w:rPr>
        <w:t xml:space="preserve">(Figure 4), we see real gender differences in unemployment levels. As shown in Figure 1, employment did seem to be recovering in the last couple of quarters of 2020 and into 2021, particularly for women. However, this potentially positive picture does not apply across all ethnic groups: women and men in mixed/multiple and other ethnic groups continued to experience rising unemployment into 2021, unlike white women and men. Men from mixed/multiple minority ethnic backgrounds saw by far the sharpest rise in their unemployment (peaking at fully 15% in summer 2020). </w:t>
      </w:r>
      <w:r w:rsidR="00A54BFC">
        <w:rPr>
          <w:rFonts w:ascii="Calibri" w:hAnsi="Calibri" w:cs="Calibri"/>
          <w:lang w:val="en-GB"/>
        </w:rPr>
        <w:t>U</w:t>
      </w:r>
      <w:r w:rsidRPr="00395CF0">
        <w:rPr>
          <w:rFonts w:ascii="Calibri" w:hAnsi="Calibri" w:cs="Calibri"/>
          <w:lang w:val="en-GB"/>
        </w:rPr>
        <w:t xml:space="preserve">nemployment remained constant below 6% </w:t>
      </w:r>
      <w:r w:rsidR="00A54BFC">
        <w:rPr>
          <w:rFonts w:ascii="Calibri" w:hAnsi="Calibri" w:cs="Calibri"/>
          <w:lang w:val="en-GB"/>
        </w:rPr>
        <w:t xml:space="preserve">for </w:t>
      </w:r>
      <w:r w:rsidR="00D95D8D">
        <w:rPr>
          <w:rFonts w:ascii="Calibri" w:hAnsi="Calibri" w:cs="Calibri"/>
          <w:lang w:val="en-GB"/>
        </w:rPr>
        <w:t xml:space="preserve">women from </w:t>
      </w:r>
      <w:r w:rsidR="00D95D8D" w:rsidRPr="00395CF0">
        <w:rPr>
          <w:rFonts w:ascii="Calibri" w:hAnsi="Calibri" w:cs="Calibri"/>
          <w:lang w:val="en-GB"/>
        </w:rPr>
        <w:t xml:space="preserve">mixed/multiple minority ethnic </w:t>
      </w:r>
      <w:r w:rsidR="00D95D8D">
        <w:rPr>
          <w:rFonts w:ascii="Calibri" w:hAnsi="Calibri" w:cs="Calibri"/>
          <w:lang w:val="en-GB"/>
        </w:rPr>
        <w:t xml:space="preserve">groups, </w:t>
      </w:r>
      <w:r w:rsidRPr="00395CF0">
        <w:rPr>
          <w:rFonts w:ascii="Calibri" w:hAnsi="Calibri" w:cs="Calibri"/>
          <w:lang w:val="en-GB"/>
        </w:rPr>
        <w:t>for most time periods examined, but reached 11% in the last two quarters of 2020, edging closer to the high male rates.</w:t>
      </w:r>
    </w:p>
    <w:p w14:paraId="3A0A3F79" w14:textId="442FABEB"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A similar but less marked gender trend is shown among people from black backgrounds. Unemployment increased to over 10% from June-August for men and women, with fluctuations between 10% and 14% for the rest of the year. While the last quarter showed a </w:t>
      </w:r>
      <w:r w:rsidR="00A54BFC">
        <w:rPr>
          <w:rFonts w:ascii="Calibri" w:hAnsi="Calibri" w:cs="Calibri"/>
          <w:lang w:val="en-GB"/>
        </w:rPr>
        <w:t>sharp</w:t>
      </w:r>
      <w:r w:rsidRPr="00395CF0">
        <w:rPr>
          <w:rFonts w:ascii="Calibri" w:hAnsi="Calibri" w:cs="Calibri"/>
          <w:lang w:val="en-GB"/>
        </w:rPr>
        <w:t xml:space="preserve"> fall for men, women’s unemployment remained constant at 12%.</w:t>
      </w:r>
    </w:p>
    <w:p w14:paraId="13AC3638" w14:textId="58A9109A" w:rsidR="00A441EE" w:rsidRPr="00395CF0" w:rsidRDefault="00A441EE" w:rsidP="00720BC9">
      <w:pPr>
        <w:pStyle w:val="BodyText"/>
        <w:jc w:val="both"/>
        <w:rPr>
          <w:rFonts w:ascii="Calibri" w:hAnsi="Calibri" w:cs="Calibri"/>
          <w:lang w:val="en-GB"/>
        </w:rPr>
      </w:pPr>
    </w:p>
    <w:p w14:paraId="68EEC07B" w14:textId="272E17AB" w:rsidR="00A441EE" w:rsidRPr="00395CF0" w:rsidRDefault="00A441EE" w:rsidP="00720BC9">
      <w:pPr>
        <w:pStyle w:val="BodyText"/>
        <w:jc w:val="both"/>
        <w:rPr>
          <w:rFonts w:ascii="Calibri" w:hAnsi="Calibri" w:cs="Calibri"/>
          <w:lang w:val="en-GB"/>
        </w:rPr>
      </w:pPr>
      <w:r w:rsidRPr="00395CF0">
        <w:rPr>
          <w:rFonts w:ascii="Calibri" w:hAnsi="Calibri" w:cs="Calibri"/>
          <w:noProof/>
          <w:lang w:val="en-GB"/>
        </w:rPr>
        <w:lastRenderedPageBreak/>
        <w:drawing>
          <wp:inline distT="0" distB="0" distL="0" distR="0" wp14:anchorId="2E4ECB72" wp14:editId="5B1060A7">
            <wp:extent cx="5943600" cy="594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ethnicity%20and%20sex-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3A0A3F7A" w14:textId="11AD5F0C" w:rsidR="00666639" w:rsidRPr="00395CF0" w:rsidRDefault="00A54BFC" w:rsidP="00720BC9">
      <w:pPr>
        <w:pStyle w:val="BodyText"/>
        <w:jc w:val="both"/>
        <w:rPr>
          <w:rFonts w:ascii="Calibri" w:hAnsi="Calibri" w:cs="Calibri"/>
          <w:lang w:val="en-GB"/>
        </w:rPr>
      </w:pPr>
      <w:r>
        <w:rPr>
          <w:rFonts w:ascii="Calibri" w:hAnsi="Calibri" w:cs="Calibri"/>
          <w:lang w:val="en-GB"/>
        </w:rPr>
        <w:t>F</w:t>
      </w:r>
      <w:r w:rsidR="00440959" w:rsidRPr="00395CF0">
        <w:rPr>
          <w:rFonts w:ascii="Calibri" w:hAnsi="Calibri" w:cs="Calibri"/>
          <w:lang w:val="en-GB"/>
        </w:rPr>
        <w:t xml:space="preserve">igure </w:t>
      </w:r>
      <w:r>
        <w:rPr>
          <w:rFonts w:ascii="Calibri" w:hAnsi="Calibri" w:cs="Calibri"/>
          <w:lang w:val="en-GB"/>
        </w:rPr>
        <w:t xml:space="preserve">4 </w:t>
      </w:r>
      <w:r w:rsidR="00440959" w:rsidRPr="00395CF0">
        <w:rPr>
          <w:rFonts w:ascii="Calibri" w:hAnsi="Calibri" w:cs="Calibri"/>
          <w:lang w:val="en-GB"/>
        </w:rPr>
        <w:t>also shows that f</w:t>
      </w:r>
      <w:r w:rsidR="005F0458" w:rsidRPr="00395CF0">
        <w:rPr>
          <w:rFonts w:ascii="Calibri" w:hAnsi="Calibri" w:cs="Calibri"/>
          <w:lang w:val="en-GB"/>
        </w:rPr>
        <w:t>or most groups, COVID-19 worsened pre-pandemic gender gaps, with women faring worse than men. For example, women from Indian, non-Chinese Asian, and other ethnic backgrounds suffered from lower employment since before the pandemic hit. However, some ethnic minorities have showed particularly unstable and contrasting gender trends. This is the case of the Pakistani, Bangladeshi, and Chinese groups.</w:t>
      </w:r>
    </w:p>
    <w:p w14:paraId="56B4F285" w14:textId="2D75BFB3" w:rsidR="00720BC9" w:rsidRPr="00395CF0" w:rsidRDefault="005F0458" w:rsidP="00720BC9">
      <w:pPr>
        <w:pStyle w:val="BodyText"/>
        <w:numPr>
          <w:ilvl w:val="0"/>
          <w:numId w:val="4"/>
        </w:numPr>
        <w:jc w:val="both"/>
        <w:rPr>
          <w:rFonts w:ascii="Calibri" w:hAnsi="Calibri" w:cs="Calibri"/>
          <w:lang w:val="en-GB"/>
        </w:rPr>
      </w:pPr>
      <w:r w:rsidRPr="00395CF0">
        <w:rPr>
          <w:rFonts w:ascii="Calibri" w:hAnsi="Calibri" w:cs="Calibri"/>
          <w:lang w:val="en-GB"/>
        </w:rPr>
        <w:t xml:space="preserve">Pakistani women saw a short </w:t>
      </w:r>
      <w:r w:rsidR="00A54BFC">
        <w:rPr>
          <w:rFonts w:ascii="Calibri" w:hAnsi="Calibri" w:cs="Calibri"/>
          <w:lang w:val="en-GB"/>
        </w:rPr>
        <w:t>drop</w:t>
      </w:r>
      <w:r w:rsidRPr="00395CF0">
        <w:rPr>
          <w:rFonts w:ascii="Calibri" w:hAnsi="Calibri" w:cs="Calibri"/>
          <w:lang w:val="en-GB"/>
        </w:rPr>
        <w:t xml:space="preserve"> in unemployment during May/July</w:t>
      </w:r>
      <w:r w:rsidR="00A54BFC">
        <w:rPr>
          <w:rFonts w:ascii="Calibri" w:hAnsi="Calibri" w:cs="Calibri"/>
          <w:lang w:val="en-GB"/>
        </w:rPr>
        <w:t>,</w:t>
      </w:r>
      <w:r w:rsidRPr="00395CF0">
        <w:rPr>
          <w:rFonts w:ascii="Calibri" w:hAnsi="Calibri" w:cs="Calibri"/>
          <w:lang w:val="en-GB"/>
        </w:rPr>
        <w:t xml:space="preserve"> </w:t>
      </w:r>
      <w:r w:rsidR="00A54BFC">
        <w:rPr>
          <w:rFonts w:ascii="Calibri" w:hAnsi="Calibri" w:cs="Calibri"/>
          <w:lang w:val="en-GB"/>
        </w:rPr>
        <w:t xml:space="preserve">back </w:t>
      </w:r>
      <w:r w:rsidRPr="00395CF0">
        <w:rPr>
          <w:rFonts w:ascii="Calibri" w:hAnsi="Calibri" w:cs="Calibri"/>
          <w:lang w:val="en-GB"/>
        </w:rPr>
        <w:t xml:space="preserve">to pre-pandemic levels. However, their unemployment increased sharply to a </w:t>
      </w:r>
      <w:r w:rsidR="00A54BFC">
        <w:rPr>
          <w:rFonts w:ascii="Calibri" w:hAnsi="Calibri" w:cs="Calibri"/>
          <w:lang w:val="en-GB"/>
        </w:rPr>
        <w:t>high</w:t>
      </w:r>
      <w:r w:rsidRPr="00395CF0">
        <w:rPr>
          <w:rFonts w:ascii="Calibri" w:hAnsi="Calibri" w:cs="Calibri"/>
          <w:lang w:val="en-GB"/>
        </w:rPr>
        <w:t xml:space="preserve"> of 18% in September/November, while men’s remained half that (below 9%). Only in December 2020-February 2021 did women’s unemployment fall to the same level as </w:t>
      </w:r>
      <w:proofErr w:type="gramStart"/>
      <w:r w:rsidRPr="00395CF0">
        <w:rPr>
          <w:rFonts w:ascii="Calibri" w:hAnsi="Calibri" w:cs="Calibri"/>
          <w:lang w:val="en-GB"/>
        </w:rPr>
        <w:t>men’s</w:t>
      </w:r>
      <w:proofErr w:type="gramEnd"/>
      <w:r w:rsidRPr="00395CF0">
        <w:rPr>
          <w:rFonts w:ascii="Calibri" w:hAnsi="Calibri" w:cs="Calibri"/>
          <w:lang w:val="en-GB"/>
        </w:rPr>
        <w:t xml:space="preserve">. </w:t>
      </w:r>
    </w:p>
    <w:p w14:paraId="10894A9D" w14:textId="14293ECE" w:rsidR="00720BC9" w:rsidRPr="00395CF0" w:rsidRDefault="005F0458" w:rsidP="00720BC9">
      <w:pPr>
        <w:pStyle w:val="BodyText"/>
        <w:numPr>
          <w:ilvl w:val="0"/>
          <w:numId w:val="4"/>
        </w:numPr>
        <w:jc w:val="both"/>
        <w:rPr>
          <w:rFonts w:ascii="Calibri" w:hAnsi="Calibri" w:cs="Calibri"/>
          <w:lang w:val="en-GB"/>
        </w:rPr>
      </w:pPr>
      <w:r w:rsidRPr="00395CF0">
        <w:rPr>
          <w:rFonts w:ascii="Calibri" w:hAnsi="Calibri" w:cs="Calibri"/>
          <w:lang w:val="en-GB"/>
        </w:rPr>
        <w:lastRenderedPageBreak/>
        <w:t xml:space="preserve">Bangladeshi men and women experienced very different trends in unemployment levels: while women saw a continuous fall in unemployment from the start of the pandemic until June/August, men saw an increase. This was followed by an increase for women and a decrease for men, which then swapped again. </w:t>
      </w:r>
    </w:p>
    <w:p w14:paraId="3A0A3F7B" w14:textId="0D5B2D25" w:rsidR="00666639" w:rsidRPr="00395CF0" w:rsidRDefault="005F0458" w:rsidP="00720BC9">
      <w:pPr>
        <w:pStyle w:val="BodyText"/>
        <w:numPr>
          <w:ilvl w:val="0"/>
          <w:numId w:val="4"/>
        </w:numPr>
        <w:jc w:val="both"/>
        <w:rPr>
          <w:rFonts w:ascii="Calibri" w:hAnsi="Calibri" w:cs="Calibri"/>
          <w:lang w:val="en-GB"/>
        </w:rPr>
      </w:pPr>
      <w:r w:rsidRPr="00395CF0">
        <w:rPr>
          <w:rFonts w:ascii="Calibri" w:hAnsi="Calibri" w:cs="Calibri"/>
          <w:lang w:val="en-GB"/>
        </w:rPr>
        <w:t>Trends in unemployment for Chinese people were also volatile, particularly for men, from the start of the pandemic to August-October but levels then stabilised (at below 6%). Women’s unemployment, on the other hand, doubled in the period when men’s levels were falling.</w:t>
      </w:r>
    </w:p>
    <w:p w14:paraId="3A0A3F7C" w14:textId="77777777"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For most minority ethnic groups, except the Bangladeshis, the COVID-19 pandemic has had a negative impact on employment levels, with real growth in rates of unemployment. However, employment seems to be recovering in the last couple of quarters, particularly for women. This is not the case for women and men from mixed/multiple and other ethnic groups who continue to experience a rise in unemployment.</w:t>
      </w:r>
    </w:p>
    <w:p w14:paraId="71628164" w14:textId="77777777" w:rsidR="00A54BFC" w:rsidRDefault="00A54BFC">
      <w:pPr>
        <w:pStyle w:val="Heading2"/>
        <w:rPr>
          <w:rFonts w:ascii="Calibri" w:hAnsi="Calibri" w:cs="Calibri"/>
          <w:lang w:val="en-GB"/>
        </w:rPr>
      </w:pPr>
      <w:bookmarkStart w:id="10" w:name="_Toc72997397"/>
      <w:bookmarkStart w:id="11" w:name="Xa403f41bdc272df7d8efa4e8c0b09f1b75c68ac"/>
      <w:bookmarkEnd w:id="9"/>
    </w:p>
    <w:p w14:paraId="3A0A3F7E" w14:textId="3C71B611" w:rsidR="00666639" w:rsidRPr="00395CF0" w:rsidRDefault="005F0458">
      <w:pPr>
        <w:pStyle w:val="Heading2"/>
        <w:rPr>
          <w:rFonts w:ascii="Calibri" w:hAnsi="Calibri" w:cs="Calibri"/>
          <w:lang w:val="en-GB"/>
        </w:rPr>
      </w:pPr>
      <w:r w:rsidRPr="00395CF0">
        <w:rPr>
          <w:rFonts w:ascii="Calibri" w:hAnsi="Calibri" w:cs="Calibri"/>
          <w:lang w:val="en-GB"/>
        </w:rPr>
        <w:t xml:space="preserve">Employment has not recovered </w:t>
      </w:r>
      <w:r w:rsidR="00E16C85">
        <w:rPr>
          <w:rFonts w:ascii="Calibri" w:hAnsi="Calibri" w:cs="Calibri"/>
          <w:lang w:val="en-GB"/>
        </w:rPr>
        <w:t xml:space="preserve">equally </w:t>
      </w:r>
      <w:r w:rsidRPr="00395CF0">
        <w:rPr>
          <w:rFonts w:ascii="Calibri" w:hAnsi="Calibri" w:cs="Calibri"/>
          <w:lang w:val="en-GB"/>
        </w:rPr>
        <w:t>for everyone</w:t>
      </w:r>
      <w:bookmarkEnd w:id="10"/>
    </w:p>
    <w:p w14:paraId="3A0A3F7F" w14:textId="77777777"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As well as age and ethnicity differences, our research also reveals differences by class. Employment rates are not recovering equally for all workers, with those employed in routine and semi routine occupations facing more persistent problems. Yet these are essential workers whose crucial work was highlighted during the pandemic: typical occupations here include cleaners, drivers, assemblers, machine operators, porters and messengers, plumbers, shop workers and care workers.</w:t>
      </w:r>
    </w:p>
    <w:p w14:paraId="3A0A3F81" w14:textId="3DAB89CF"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People in these key occupations saw the steepest fall in their employment, when compared to the employment rate during the pre-pandemic period (Figure 5). This is particularly true for men who saw a decrease of 5% from 2019 to the end of 2020 (87% vs 82%). The equivalent fall for women was 2%.</w:t>
      </w:r>
      <w:r w:rsidR="00A54BFC">
        <w:rPr>
          <w:rFonts w:ascii="Calibri" w:hAnsi="Calibri" w:cs="Calibri"/>
          <w:lang w:val="en-GB"/>
        </w:rPr>
        <w:t xml:space="preserve"> </w:t>
      </w:r>
      <w:r w:rsidRPr="00395CF0">
        <w:rPr>
          <w:rFonts w:ascii="Calibri" w:hAnsi="Calibri" w:cs="Calibri"/>
          <w:lang w:val="en-GB"/>
        </w:rPr>
        <w:t>Employment levels for other occupational class categories remained far more stable and, indeed, remained virtually unchanged for management and professional jobs, compared to pre-pandemic rates.</w:t>
      </w:r>
    </w:p>
    <w:p w14:paraId="3A0A3F82" w14:textId="72B87311" w:rsidR="00666639" w:rsidRPr="00395CF0" w:rsidRDefault="005F0458">
      <w:pPr>
        <w:pStyle w:val="BodyText"/>
        <w:rPr>
          <w:rFonts w:ascii="Calibri" w:hAnsi="Calibri" w:cs="Calibri"/>
          <w:lang w:val="en-GB"/>
        </w:rPr>
      </w:pPr>
      <w:r w:rsidRPr="00395CF0">
        <w:rPr>
          <w:rFonts w:ascii="Calibri" w:hAnsi="Calibri" w:cs="Calibri"/>
          <w:noProof/>
          <w:lang w:val="en-GB"/>
        </w:rPr>
        <w:lastRenderedPageBreak/>
        <w:drawing>
          <wp:inline distT="0" distB="0" distL="0" distR="0" wp14:anchorId="3A0A3FF7" wp14:editId="3A0A3FF8">
            <wp:extent cx="5943600" cy="41605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unnamed-chunk-1-1.png"/>
                    <pic:cNvPicPr>
                      <a:picLocks noChangeAspect="1" noChangeArrowheads="1"/>
                    </pic:cNvPicPr>
                  </pic:nvPicPr>
                  <pic:blipFill>
                    <a:blip r:embed="rId19"/>
                    <a:stretch>
                      <a:fillRect/>
                    </a:stretch>
                  </pic:blipFill>
                  <pic:spPr bwMode="auto">
                    <a:xfrm>
                      <a:off x="0" y="0"/>
                      <a:ext cx="5943600" cy="4160520"/>
                    </a:xfrm>
                    <a:prstGeom prst="rect">
                      <a:avLst/>
                    </a:prstGeom>
                    <a:noFill/>
                    <a:ln w="9525">
                      <a:noFill/>
                      <a:headEnd/>
                      <a:tailEnd/>
                    </a:ln>
                  </pic:spPr>
                </pic:pic>
              </a:graphicData>
            </a:graphic>
          </wp:inline>
        </w:drawing>
      </w:r>
    </w:p>
    <w:p w14:paraId="29235720" w14:textId="77777777" w:rsidR="00720BC9" w:rsidRPr="00395CF0" w:rsidRDefault="00720BC9">
      <w:pPr>
        <w:pStyle w:val="BodyText"/>
        <w:rPr>
          <w:rFonts w:ascii="Calibri" w:hAnsi="Calibri" w:cs="Calibri"/>
          <w:lang w:val="en-GB"/>
        </w:rPr>
      </w:pPr>
    </w:p>
    <w:p w14:paraId="3A0A3F83" w14:textId="77777777" w:rsidR="00666639" w:rsidRPr="00395CF0" w:rsidRDefault="005F0458">
      <w:pPr>
        <w:pStyle w:val="Heading2"/>
        <w:rPr>
          <w:rFonts w:ascii="Calibri" w:hAnsi="Calibri" w:cs="Calibri"/>
          <w:lang w:val="en-GB"/>
        </w:rPr>
      </w:pPr>
      <w:bookmarkStart w:id="12" w:name="_Toc72997398"/>
      <w:bookmarkStart w:id="13" w:name="X8bf8569dd863fb62e7421cf0e4def27d88406ee"/>
      <w:bookmarkEnd w:id="11"/>
      <w:r w:rsidRPr="00395CF0">
        <w:rPr>
          <w:rFonts w:ascii="Calibri" w:hAnsi="Calibri" w:cs="Calibri"/>
          <w:lang w:val="en-GB"/>
        </w:rPr>
        <w:t>Redundancies were concentrated in professional as well as routine occupations</w:t>
      </w:r>
      <w:bookmarkEnd w:id="12"/>
    </w:p>
    <w:p w14:paraId="3A0A3F84" w14:textId="78D2B113"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While the pandemic barely impacted the overall employment levels of management and professional workers, people in this category were most likely to be made redundant during 2020 (see Figure 6). An estimated 87,553 male workers in management/professional jobs indicated that they had been made redundant within the previous three months (surveyed in October/December 2020). This is 3.2 times higher than the same period in 2019. In the case of similar female workers, the peak was felt in the September/November quarter, with an estimated 63,803 redundancies in the previous three months. This is 2.3 times more redundancies than the last quarter of 2019.</w:t>
      </w:r>
    </w:p>
    <w:p w14:paraId="3A0A3F85" w14:textId="13886C93"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Routine and semi-routine occupations also saw redundancy rates peak in the second half of 2020. However, workers in this occupational class have not seen the same level of recovery as management and professional workers (as shown is Figure 5). We asked if this trend may be explained by comparing voluntary vs non-voluntary redundancies and found that management and professional workers have taken more voluntary redundancies (up to 12% in 2019 and close to 5% in 2020) compared to routine and semi-routine occupations (below 2% for all periods). Voluntary redundancies may suggest that workers are changing companies, starting new </w:t>
      </w:r>
      <w:proofErr w:type="gramStart"/>
      <w:r w:rsidRPr="00395CF0">
        <w:rPr>
          <w:rFonts w:ascii="Calibri" w:hAnsi="Calibri" w:cs="Calibri"/>
          <w:lang w:val="en-GB"/>
        </w:rPr>
        <w:t>projects</w:t>
      </w:r>
      <w:proofErr w:type="gramEnd"/>
      <w:r w:rsidRPr="00395CF0">
        <w:rPr>
          <w:rFonts w:ascii="Calibri" w:hAnsi="Calibri" w:cs="Calibri"/>
          <w:lang w:val="en-GB"/>
        </w:rPr>
        <w:t xml:space="preserve"> </w:t>
      </w:r>
      <w:r w:rsidRPr="00395CF0">
        <w:rPr>
          <w:rFonts w:ascii="Calibri" w:hAnsi="Calibri" w:cs="Calibri"/>
          <w:lang w:val="en-GB"/>
        </w:rPr>
        <w:lastRenderedPageBreak/>
        <w:t xml:space="preserve">or </w:t>
      </w:r>
      <w:r w:rsidR="00A54BFC">
        <w:rPr>
          <w:rFonts w:ascii="Calibri" w:hAnsi="Calibri" w:cs="Calibri"/>
          <w:lang w:val="en-GB"/>
        </w:rPr>
        <w:t>leaving the labour force</w:t>
      </w:r>
      <w:r w:rsidRPr="00395CF0">
        <w:rPr>
          <w:rFonts w:ascii="Calibri" w:hAnsi="Calibri" w:cs="Calibri"/>
          <w:lang w:val="en-GB"/>
        </w:rPr>
        <w:t>. Th</w:t>
      </w:r>
      <w:r w:rsidR="00A54BFC">
        <w:rPr>
          <w:rFonts w:ascii="Calibri" w:hAnsi="Calibri" w:cs="Calibri"/>
          <w:lang w:val="en-GB"/>
        </w:rPr>
        <w:t>e</w:t>
      </w:r>
      <w:r w:rsidRPr="00395CF0">
        <w:rPr>
          <w:rFonts w:ascii="Calibri" w:hAnsi="Calibri" w:cs="Calibri"/>
          <w:lang w:val="en-GB"/>
        </w:rPr>
        <w:t>s</w:t>
      </w:r>
      <w:r w:rsidR="00A54BFC">
        <w:rPr>
          <w:rFonts w:ascii="Calibri" w:hAnsi="Calibri" w:cs="Calibri"/>
          <w:lang w:val="en-GB"/>
        </w:rPr>
        <w:t>e</w:t>
      </w:r>
      <w:r w:rsidRPr="00395CF0">
        <w:rPr>
          <w:rFonts w:ascii="Calibri" w:hAnsi="Calibri" w:cs="Calibri"/>
          <w:lang w:val="en-GB"/>
        </w:rPr>
        <w:t xml:space="preserve"> </w:t>
      </w:r>
      <w:r w:rsidR="00A54BFC">
        <w:rPr>
          <w:rFonts w:ascii="Calibri" w:hAnsi="Calibri" w:cs="Calibri"/>
          <w:lang w:val="en-GB"/>
        </w:rPr>
        <w:t xml:space="preserve">reasons </w:t>
      </w:r>
      <w:r w:rsidRPr="00395CF0">
        <w:rPr>
          <w:rFonts w:ascii="Calibri" w:hAnsi="Calibri" w:cs="Calibri"/>
          <w:lang w:val="en-GB"/>
        </w:rPr>
        <w:t xml:space="preserve">seem to be less likely for workers in routine and semi-routine </w:t>
      </w:r>
      <w:r w:rsidR="00A54BFC">
        <w:rPr>
          <w:rFonts w:ascii="Calibri" w:hAnsi="Calibri" w:cs="Calibri"/>
          <w:lang w:val="en-GB"/>
        </w:rPr>
        <w:t>jobs</w:t>
      </w:r>
      <w:r w:rsidRPr="00395CF0">
        <w:rPr>
          <w:rFonts w:ascii="Calibri" w:hAnsi="Calibri" w:cs="Calibri"/>
          <w:lang w:val="en-GB"/>
        </w:rPr>
        <w:t>.</w:t>
      </w:r>
    </w:p>
    <w:p w14:paraId="3A0A3F86" w14:textId="478B099E"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Men in lower supervisory and technical occupations saw an increase in redundancies during the pandemic, while for similar women redundancies remained relatively low. However, women in intermediate occupations were considerably more affected than men. Typical intermediate occupations include clerical occupations, administrative assistants, and occupations which involve working alongside managers and professionals in ancillary roles. Women are frequently found in these supporting roles. With management and professional workers being able to work from home, ancillary roles may have been reduced as there were </w:t>
      </w:r>
      <w:r w:rsidR="00A54BFC">
        <w:rPr>
          <w:rFonts w:ascii="Calibri" w:hAnsi="Calibri" w:cs="Calibri"/>
          <w:lang w:val="en-GB"/>
        </w:rPr>
        <w:t>fewer</w:t>
      </w:r>
      <w:r w:rsidRPr="00395CF0">
        <w:rPr>
          <w:rFonts w:ascii="Calibri" w:hAnsi="Calibri" w:cs="Calibri"/>
          <w:lang w:val="en-GB"/>
        </w:rPr>
        <w:t xml:space="preserve"> face to face meetings to organise, visitors to host and trips to coordinate.</w:t>
      </w:r>
    </w:p>
    <w:p w14:paraId="66033244" w14:textId="6BF6E723" w:rsidR="00A54BFC" w:rsidRDefault="00A54BFC" w:rsidP="00720BC9">
      <w:pPr>
        <w:pStyle w:val="BodyText"/>
        <w:jc w:val="both"/>
        <w:rPr>
          <w:rFonts w:ascii="Calibri" w:hAnsi="Calibri" w:cs="Calibri"/>
          <w:lang w:val="en-GB"/>
        </w:rPr>
      </w:pPr>
      <w:r>
        <w:rPr>
          <w:rFonts w:ascii="Calibri" w:hAnsi="Calibri" w:cs="Calibri"/>
          <w:lang w:val="en-GB"/>
        </w:rPr>
        <w:t>There was a sharp decline in the number of r</w:t>
      </w:r>
      <w:r w:rsidR="005F0458" w:rsidRPr="00395CF0">
        <w:rPr>
          <w:rFonts w:ascii="Calibri" w:hAnsi="Calibri" w:cs="Calibri"/>
          <w:lang w:val="en-GB"/>
        </w:rPr>
        <w:t xml:space="preserve">edundancies </w:t>
      </w:r>
      <w:r>
        <w:rPr>
          <w:rFonts w:ascii="Calibri" w:hAnsi="Calibri" w:cs="Calibri"/>
          <w:lang w:val="en-GB"/>
        </w:rPr>
        <w:t>as 2020 closed and 2021 began.</w:t>
      </w:r>
    </w:p>
    <w:p w14:paraId="3A0A3F88" w14:textId="5B5E17ED" w:rsidR="00666639" w:rsidRPr="00395CF0" w:rsidRDefault="005F0458">
      <w:pPr>
        <w:pStyle w:val="BodyText"/>
        <w:rPr>
          <w:rFonts w:ascii="Calibri" w:hAnsi="Calibri" w:cs="Calibri"/>
          <w:lang w:val="en-GB"/>
        </w:rPr>
      </w:pPr>
      <w:r w:rsidRPr="00395CF0">
        <w:rPr>
          <w:rFonts w:ascii="Calibri" w:hAnsi="Calibri" w:cs="Calibri"/>
          <w:noProof/>
          <w:lang w:val="en-GB"/>
        </w:rPr>
        <w:drawing>
          <wp:inline distT="0" distB="0" distL="0" distR="0" wp14:anchorId="3A0A3FF9" wp14:editId="3A0A3FFA">
            <wp:extent cx="5943600" cy="41605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redundancy%20occupation-1.png"/>
                    <pic:cNvPicPr>
                      <a:picLocks noChangeAspect="1" noChangeArrowheads="1"/>
                    </pic:cNvPicPr>
                  </pic:nvPicPr>
                  <pic:blipFill>
                    <a:blip r:embed="rId20"/>
                    <a:stretch>
                      <a:fillRect/>
                    </a:stretch>
                  </pic:blipFill>
                  <pic:spPr bwMode="auto">
                    <a:xfrm>
                      <a:off x="0" y="0"/>
                      <a:ext cx="5943600" cy="4160520"/>
                    </a:xfrm>
                    <a:prstGeom prst="rect">
                      <a:avLst/>
                    </a:prstGeom>
                    <a:noFill/>
                    <a:ln w="9525">
                      <a:noFill/>
                      <a:headEnd/>
                      <a:tailEnd/>
                    </a:ln>
                  </pic:spPr>
                </pic:pic>
              </a:graphicData>
            </a:graphic>
          </wp:inline>
        </w:drawing>
      </w:r>
    </w:p>
    <w:p w14:paraId="43C8D902" w14:textId="77777777" w:rsidR="00440959" w:rsidRPr="00395CF0" w:rsidRDefault="00440959">
      <w:pPr>
        <w:pStyle w:val="BodyText"/>
        <w:rPr>
          <w:rFonts w:ascii="Calibri" w:hAnsi="Calibri" w:cs="Calibri"/>
          <w:lang w:val="en-GB"/>
        </w:rPr>
      </w:pPr>
    </w:p>
    <w:p w14:paraId="3A0A3F89" w14:textId="77777777" w:rsidR="00666639" w:rsidRPr="00395CF0" w:rsidRDefault="005F0458">
      <w:pPr>
        <w:pStyle w:val="Heading2"/>
        <w:rPr>
          <w:rFonts w:ascii="Calibri" w:hAnsi="Calibri" w:cs="Calibri"/>
          <w:lang w:val="en-GB"/>
        </w:rPr>
      </w:pPr>
      <w:bookmarkStart w:id="14" w:name="_Toc72997399"/>
      <w:bookmarkStart w:id="15" w:name="Xba2f8511e28476bed898f4258015242d8776e66"/>
      <w:bookmarkEnd w:id="13"/>
      <w:r w:rsidRPr="00395CF0">
        <w:rPr>
          <w:rFonts w:ascii="Calibri" w:hAnsi="Calibri" w:cs="Calibri"/>
          <w:lang w:val="en-GB"/>
        </w:rPr>
        <w:t>Employers are not being able to keep their staff</w:t>
      </w:r>
      <w:bookmarkEnd w:id="14"/>
    </w:p>
    <w:p w14:paraId="3A0A3F8A" w14:textId="59A22933"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 xml:space="preserve">The reasons </w:t>
      </w:r>
      <w:r w:rsidR="00A54BFC">
        <w:rPr>
          <w:rFonts w:ascii="Calibri" w:hAnsi="Calibri" w:cs="Calibri"/>
          <w:lang w:val="en-GB"/>
        </w:rPr>
        <w:t>for</w:t>
      </w:r>
      <w:r w:rsidRPr="00395CF0">
        <w:rPr>
          <w:rFonts w:ascii="Calibri" w:hAnsi="Calibri" w:cs="Calibri"/>
          <w:lang w:val="en-GB"/>
        </w:rPr>
        <w:t xml:space="preserve"> redundancies are mostly divided between those workers who were made redundant because employers had to close down fully and those who were made redundant because their employers reduced staffing numbers in the face of reduced demand and/or to maintain profit levels. As non-essential businesses were experiencing long periods of inactivity, </w:t>
      </w:r>
      <w:r w:rsidRPr="00395CF0">
        <w:rPr>
          <w:rFonts w:ascii="Calibri" w:hAnsi="Calibri" w:cs="Calibri"/>
          <w:lang w:val="en-GB"/>
        </w:rPr>
        <w:lastRenderedPageBreak/>
        <w:t>as a result of COVID-19 closures and other pressures, many employers opted to retain fewer employees to carry out the available work. The percentage of people who lost their jobs because of workplaces reducing staff shot up rapidly after the first lockdown, peaking at 38% of all redundancies in summer 2020.</w:t>
      </w:r>
    </w:p>
    <w:p w14:paraId="3A0A3F8B" w14:textId="666599D8"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This trend has not decreased since its peak in summer 2020, with both men and women similarly affected.</w:t>
      </w:r>
    </w:p>
    <w:p w14:paraId="62CBDB64" w14:textId="77777777" w:rsidR="00F531D6" w:rsidRPr="00395CF0" w:rsidRDefault="00F531D6" w:rsidP="00720BC9">
      <w:pPr>
        <w:pStyle w:val="BodyText"/>
        <w:jc w:val="both"/>
        <w:rPr>
          <w:rFonts w:ascii="Calibri" w:hAnsi="Calibri" w:cs="Calibri"/>
          <w:lang w:val="en-GB"/>
        </w:rPr>
      </w:pPr>
    </w:p>
    <w:p w14:paraId="3A0A3F8C" w14:textId="40AE842F" w:rsidR="00666639" w:rsidRPr="00395CF0" w:rsidRDefault="005F0458">
      <w:pPr>
        <w:pStyle w:val="BodyText"/>
        <w:rPr>
          <w:rFonts w:ascii="Calibri" w:hAnsi="Calibri" w:cs="Calibri"/>
          <w:lang w:val="en-GB"/>
        </w:rPr>
      </w:pPr>
      <w:r w:rsidRPr="00395CF0">
        <w:rPr>
          <w:rFonts w:ascii="Calibri" w:hAnsi="Calibri" w:cs="Calibri"/>
          <w:noProof/>
          <w:lang w:val="en-GB"/>
        </w:rPr>
        <w:drawing>
          <wp:inline distT="0" distB="0" distL="0" distR="0" wp14:anchorId="3A0A3FFB" wp14:editId="3A0A3FFC">
            <wp:extent cx="5943600" cy="41605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redundancy%20reason-1.png"/>
                    <pic:cNvPicPr>
                      <a:picLocks noChangeAspect="1" noChangeArrowheads="1"/>
                    </pic:cNvPicPr>
                  </pic:nvPicPr>
                  <pic:blipFill>
                    <a:blip r:embed="rId21"/>
                    <a:stretch>
                      <a:fillRect/>
                    </a:stretch>
                  </pic:blipFill>
                  <pic:spPr bwMode="auto">
                    <a:xfrm>
                      <a:off x="0" y="0"/>
                      <a:ext cx="5943600" cy="4160520"/>
                    </a:xfrm>
                    <a:prstGeom prst="rect">
                      <a:avLst/>
                    </a:prstGeom>
                    <a:noFill/>
                    <a:ln w="9525">
                      <a:noFill/>
                      <a:headEnd/>
                      <a:tailEnd/>
                    </a:ln>
                  </pic:spPr>
                </pic:pic>
              </a:graphicData>
            </a:graphic>
          </wp:inline>
        </w:drawing>
      </w:r>
    </w:p>
    <w:p w14:paraId="0211C4D6" w14:textId="77777777" w:rsidR="00440959" w:rsidRPr="00395CF0" w:rsidRDefault="00440959">
      <w:pPr>
        <w:pStyle w:val="BodyText"/>
        <w:rPr>
          <w:rFonts w:ascii="Calibri" w:hAnsi="Calibri" w:cs="Calibri"/>
          <w:lang w:val="en-GB"/>
        </w:rPr>
      </w:pPr>
    </w:p>
    <w:p w14:paraId="5FCFDE90" w14:textId="77777777" w:rsidR="00F531D6" w:rsidRPr="00395CF0" w:rsidRDefault="00F531D6">
      <w:pPr>
        <w:pStyle w:val="Heading1"/>
        <w:rPr>
          <w:rFonts w:ascii="Calibri" w:hAnsi="Calibri" w:cs="Calibri"/>
          <w:lang w:val="en-GB"/>
        </w:rPr>
        <w:sectPr w:rsidR="00F531D6" w:rsidRPr="00395CF0">
          <w:footerReference w:type="default" r:id="rId22"/>
          <w:pgSz w:w="12240" w:h="15840"/>
          <w:pgMar w:top="1440" w:right="1440" w:bottom="1440" w:left="1440" w:header="720" w:footer="720" w:gutter="0"/>
          <w:cols w:space="720"/>
        </w:sectPr>
      </w:pPr>
      <w:bookmarkStart w:id="16" w:name="conclusions"/>
      <w:bookmarkEnd w:id="15"/>
      <w:bookmarkEnd w:id="3"/>
    </w:p>
    <w:p w14:paraId="3A0A3F8D" w14:textId="54B5DC43" w:rsidR="00666639" w:rsidRPr="00395CF0" w:rsidRDefault="005F0458">
      <w:pPr>
        <w:pStyle w:val="Heading1"/>
        <w:rPr>
          <w:rFonts w:ascii="Calibri" w:hAnsi="Calibri" w:cs="Calibri"/>
          <w:lang w:val="en-GB"/>
        </w:rPr>
      </w:pPr>
      <w:bookmarkStart w:id="17" w:name="_Toc72997400"/>
      <w:r w:rsidRPr="00395CF0">
        <w:rPr>
          <w:rFonts w:ascii="Calibri" w:hAnsi="Calibri" w:cs="Calibri"/>
          <w:lang w:val="en-GB"/>
        </w:rPr>
        <w:lastRenderedPageBreak/>
        <w:t>Conclusions</w:t>
      </w:r>
      <w:bookmarkEnd w:id="17"/>
    </w:p>
    <w:p w14:paraId="5D06DBE1" w14:textId="4879D165" w:rsidR="00B4221D" w:rsidRPr="00B4221D" w:rsidRDefault="00E16C85" w:rsidP="00E16C85">
      <w:pPr>
        <w:pStyle w:val="FirstParagraph"/>
        <w:jc w:val="both"/>
        <w:rPr>
          <w:rFonts w:ascii="Calibri" w:hAnsi="Calibri" w:cs="Calibri"/>
          <w:highlight w:val="yellow"/>
          <w:lang w:val="en-GB"/>
        </w:rPr>
      </w:pPr>
      <w:r>
        <w:rPr>
          <w:rFonts w:ascii="Calibri" w:hAnsi="Calibri" w:cs="Calibri"/>
          <w:lang w:val="en-GB"/>
        </w:rPr>
        <w:t>M</w:t>
      </w:r>
      <w:r w:rsidR="005F0458" w:rsidRPr="00395CF0">
        <w:rPr>
          <w:rFonts w:ascii="Calibri" w:hAnsi="Calibri" w:cs="Calibri"/>
          <w:lang w:val="en-GB"/>
        </w:rPr>
        <w:t xml:space="preserve">en’s rates of formal employment </w:t>
      </w:r>
      <w:r>
        <w:rPr>
          <w:rFonts w:ascii="Calibri" w:hAnsi="Calibri" w:cs="Calibri"/>
          <w:lang w:val="en-GB"/>
        </w:rPr>
        <w:t xml:space="preserve">in the UK </w:t>
      </w:r>
      <w:r w:rsidR="005F0458" w:rsidRPr="00395CF0">
        <w:rPr>
          <w:rFonts w:ascii="Calibri" w:hAnsi="Calibri" w:cs="Calibri"/>
          <w:lang w:val="en-GB"/>
        </w:rPr>
        <w:t xml:space="preserve">suffer the most in periods of economic crisis. Our analysis has shown that the COVID-19 pandemic is no different in this respect. Overall, men have been more impacted when unemployment and redundancies are considered. </w:t>
      </w:r>
      <w:r w:rsidRPr="00601133">
        <w:rPr>
          <w:rFonts w:ascii="Calibri" w:hAnsi="Calibri" w:cs="Calibri"/>
          <w:lang w:val="en-GB"/>
        </w:rPr>
        <w:t xml:space="preserve">Women are significantly more likely to be employed in public sector roles (particularly health, </w:t>
      </w:r>
      <w:r w:rsidR="00601133" w:rsidRPr="00601133">
        <w:rPr>
          <w:rFonts w:ascii="Calibri" w:hAnsi="Calibri" w:cs="Calibri"/>
          <w:lang w:val="en-GB"/>
        </w:rPr>
        <w:t>education,</w:t>
      </w:r>
      <w:r w:rsidRPr="00601133">
        <w:rPr>
          <w:rFonts w:ascii="Calibri" w:hAnsi="Calibri" w:cs="Calibri"/>
          <w:lang w:val="en-GB"/>
        </w:rPr>
        <w:t xml:space="preserve"> and local government) which have been largely protected against redundancies or have even seen an increase in employment (particularly health).</w:t>
      </w:r>
      <w:r w:rsidR="00B4221D" w:rsidRPr="00601133">
        <w:rPr>
          <w:rFonts w:ascii="Calibri" w:hAnsi="Calibri" w:cs="Calibri"/>
          <w:lang w:val="en-GB"/>
        </w:rPr>
        <w:t xml:space="preserve"> </w:t>
      </w:r>
    </w:p>
    <w:p w14:paraId="4DDD6866" w14:textId="7E0523C2" w:rsidR="00E16C85" w:rsidRPr="00601133" w:rsidRDefault="00B4221D" w:rsidP="00E16C85">
      <w:pPr>
        <w:pStyle w:val="FirstParagraph"/>
        <w:jc w:val="both"/>
        <w:rPr>
          <w:rFonts w:ascii="Calibri" w:hAnsi="Calibri" w:cs="Calibri"/>
          <w:lang w:val="en-GB"/>
        </w:rPr>
      </w:pPr>
      <w:r w:rsidRPr="00601133">
        <w:rPr>
          <w:rFonts w:ascii="Calibri" w:hAnsi="Calibri" w:cs="Calibri"/>
          <w:lang w:val="en-GB"/>
        </w:rPr>
        <w:t>T</w:t>
      </w:r>
      <w:r w:rsidR="00E16C85" w:rsidRPr="00601133">
        <w:rPr>
          <w:rFonts w:ascii="Calibri" w:hAnsi="Calibri" w:cs="Calibri"/>
          <w:lang w:val="en-GB"/>
        </w:rPr>
        <w:t xml:space="preserve">he </w:t>
      </w:r>
      <w:r w:rsidRPr="00601133">
        <w:rPr>
          <w:rFonts w:ascii="Calibri" w:hAnsi="Calibri" w:cs="Calibri"/>
          <w:lang w:val="en-GB"/>
        </w:rPr>
        <w:t xml:space="preserve">aggregate </w:t>
      </w:r>
      <w:r w:rsidR="00E16C85" w:rsidRPr="00601133">
        <w:rPr>
          <w:rFonts w:ascii="Calibri" w:hAnsi="Calibri" w:cs="Calibri"/>
          <w:lang w:val="en-GB"/>
        </w:rPr>
        <w:t>g</w:t>
      </w:r>
      <w:r w:rsidR="005F0458" w:rsidRPr="00601133">
        <w:rPr>
          <w:rFonts w:ascii="Calibri" w:hAnsi="Calibri" w:cs="Calibri"/>
          <w:lang w:val="en-GB"/>
        </w:rPr>
        <w:t xml:space="preserve">ender </w:t>
      </w:r>
      <w:r w:rsidRPr="00601133">
        <w:rPr>
          <w:rFonts w:ascii="Calibri" w:hAnsi="Calibri" w:cs="Calibri"/>
          <w:lang w:val="en-GB"/>
        </w:rPr>
        <w:t xml:space="preserve">unemployment gap </w:t>
      </w:r>
      <w:r w:rsidR="005F0458" w:rsidRPr="00601133">
        <w:rPr>
          <w:rFonts w:ascii="Calibri" w:hAnsi="Calibri" w:cs="Calibri"/>
          <w:lang w:val="en-GB"/>
        </w:rPr>
        <w:t>var</w:t>
      </w:r>
      <w:r w:rsidRPr="00601133">
        <w:rPr>
          <w:rFonts w:ascii="Calibri" w:hAnsi="Calibri" w:cs="Calibri"/>
          <w:lang w:val="en-GB"/>
        </w:rPr>
        <w:t>ies</w:t>
      </w:r>
      <w:r w:rsidR="005F0458" w:rsidRPr="00601133">
        <w:rPr>
          <w:rFonts w:ascii="Calibri" w:hAnsi="Calibri" w:cs="Calibri"/>
          <w:lang w:val="en-GB"/>
        </w:rPr>
        <w:t xml:space="preserve"> when age, ethnicity and occupational class are included in the analysis. </w:t>
      </w:r>
      <w:r w:rsidRPr="00601133">
        <w:rPr>
          <w:rFonts w:ascii="Calibri" w:hAnsi="Calibri" w:cs="Calibri"/>
          <w:lang w:val="en-GB"/>
        </w:rPr>
        <w:t>W</w:t>
      </w:r>
      <w:r w:rsidR="005F0458" w:rsidRPr="00601133">
        <w:rPr>
          <w:rFonts w:ascii="Calibri" w:hAnsi="Calibri" w:cs="Calibri"/>
          <w:lang w:val="en-GB"/>
        </w:rPr>
        <w:t>omen from minority ethnic groups and in intermediate occupations have been greatly affected</w:t>
      </w:r>
      <w:r w:rsidRPr="00601133">
        <w:rPr>
          <w:rFonts w:ascii="Calibri" w:hAnsi="Calibri" w:cs="Calibri"/>
          <w:lang w:val="en-GB"/>
        </w:rPr>
        <w:t xml:space="preserve"> by unemployment</w:t>
      </w:r>
      <w:r w:rsidR="005F0458" w:rsidRPr="00601133">
        <w:rPr>
          <w:rFonts w:ascii="Calibri" w:hAnsi="Calibri" w:cs="Calibri"/>
          <w:lang w:val="en-GB"/>
        </w:rPr>
        <w:t>.</w:t>
      </w:r>
      <w:r w:rsidR="00E16C85" w:rsidRPr="00601133">
        <w:rPr>
          <w:rFonts w:ascii="Calibri" w:hAnsi="Calibri" w:cs="Calibri"/>
          <w:lang w:val="en-GB"/>
        </w:rPr>
        <w:t xml:space="preserve"> </w:t>
      </w:r>
    </w:p>
    <w:p w14:paraId="47309253" w14:textId="46FF7C86" w:rsidR="00952ED2" w:rsidRPr="00395CF0" w:rsidRDefault="00952ED2" w:rsidP="00952ED2">
      <w:pPr>
        <w:pStyle w:val="FirstParagraph"/>
        <w:jc w:val="both"/>
        <w:rPr>
          <w:rFonts w:ascii="Calibri" w:hAnsi="Calibri" w:cs="Calibri"/>
          <w:lang w:val="en-GB"/>
        </w:rPr>
      </w:pPr>
      <w:r w:rsidRPr="00601133">
        <w:rPr>
          <w:rFonts w:ascii="Calibri" w:hAnsi="Calibri" w:cs="Calibri"/>
          <w:lang w:val="en-GB"/>
        </w:rPr>
        <w:t xml:space="preserve">Our analyses in this report focus on the economically active population. Far more women than men are outside of the formal labour force, </w:t>
      </w:r>
      <w:r w:rsidR="00B4221D" w:rsidRPr="00601133">
        <w:rPr>
          <w:rFonts w:ascii="Calibri" w:hAnsi="Calibri" w:cs="Calibri"/>
          <w:lang w:val="en-GB"/>
        </w:rPr>
        <w:t xml:space="preserve">or leave the labour force on job loss, </w:t>
      </w:r>
      <w:r w:rsidRPr="00601133">
        <w:rPr>
          <w:rFonts w:ascii="Calibri" w:hAnsi="Calibri" w:cs="Calibri"/>
          <w:lang w:val="en-GB"/>
        </w:rPr>
        <w:t>due to their greater responsibilit</w:t>
      </w:r>
      <w:r w:rsidR="00E16C85" w:rsidRPr="00601133">
        <w:rPr>
          <w:rFonts w:ascii="Calibri" w:hAnsi="Calibri" w:cs="Calibri"/>
          <w:lang w:val="en-GB"/>
        </w:rPr>
        <w:t>ies</w:t>
      </w:r>
      <w:r w:rsidRPr="00601133">
        <w:rPr>
          <w:rFonts w:ascii="Calibri" w:hAnsi="Calibri" w:cs="Calibri"/>
          <w:lang w:val="en-GB"/>
        </w:rPr>
        <w:t xml:space="preserve"> for </w:t>
      </w:r>
      <w:r w:rsidR="00B4221D" w:rsidRPr="00601133">
        <w:rPr>
          <w:rFonts w:ascii="Calibri" w:hAnsi="Calibri" w:cs="Calibri"/>
          <w:lang w:val="en-GB"/>
        </w:rPr>
        <w:t xml:space="preserve">essential </w:t>
      </w:r>
      <w:r w:rsidRPr="00601133">
        <w:rPr>
          <w:rFonts w:ascii="Calibri" w:hAnsi="Calibri" w:cs="Calibri"/>
          <w:lang w:val="en-GB"/>
        </w:rPr>
        <w:t>unpaid domestic work and caring.</w:t>
      </w:r>
    </w:p>
    <w:p w14:paraId="3A0A3F8F" w14:textId="4B32670A" w:rsidR="00666639" w:rsidRPr="00A54BFC" w:rsidRDefault="005F0458" w:rsidP="00720BC9">
      <w:pPr>
        <w:pStyle w:val="BodyText"/>
        <w:jc w:val="both"/>
        <w:rPr>
          <w:rFonts w:ascii="Calibri" w:hAnsi="Calibri" w:cs="Calibri"/>
          <w:highlight w:val="yellow"/>
          <w:lang w:val="en-GB"/>
        </w:rPr>
      </w:pPr>
      <w:r w:rsidRPr="00395CF0">
        <w:rPr>
          <w:rFonts w:ascii="Calibri" w:hAnsi="Calibri" w:cs="Calibri"/>
          <w:lang w:val="en-GB"/>
        </w:rPr>
        <w:t xml:space="preserve">By </w:t>
      </w:r>
      <w:r w:rsidR="00B4221D">
        <w:rPr>
          <w:rFonts w:ascii="Calibri" w:hAnsi="Calibri" w:cs="Calibri"/>
          <w:lang w:val="en-GB"/>
        </w:rPr>
        <w:t xml:space="preserve">comparing pandemic and </w:t>
      </w:r>
      <w:r w:rsidRPr="00395CF0">
        <w:rPr>
          <w:rFonts w:ascii="Calibri" w:hAnsi="Calibri" w:cs="Calibri"/>
          <w:lang w:val="en-GB"/>
        </w:rPr>
        <w:t xml:space="preserve">pre-pandemic data, </w:t>
      </w:r>
      <w:r w:rsidR="00B4221D">
        <w:rPr>
          <w:rFonts w:ascii="Calibri" w:hAnsi="Calibri" w:cs="Calibri"/>
          <w:lang w:val="en-GB"/>
        </w:rPr>
        <w:t>our</w:t>
      </w:r>
      <w:r w:rsidRPr="00395CF0">
        <w:rPr>
          <w:rFonts w:ascii="Calibri" w:hAnsi="Calibri" w:cs="Calibri"/>
          <w:lang w:val="en-GB"/>
        </w:rPr>
        <w:t xml:space="preserve"> </w:t>
      </w:r>
      <w:r w:rsidR="00B4221D">
        <w:rPr>
          <w:rFonts w:ascii="Calibri" w:hAnsi="Calibri" w:cs="Calibri"/>
          <w:lang w:val="en-GB"/>
        </w:rPr>
        <w:t>research</w:t>
      </w:r>
      <w:r w:rsidRPr="00395CF0">
        <w:rPr>
          <w:rFonts w:ascii="Calibri" w:hAnsi="Calibri" w:cs="Calibri"/>
          <w:lang w:val="en-GB"/>
        </w:rPr>
        <w:t xml:space="preserve"> demonstrates that the pandemic has not created new inequalities in employment levels but reinforced existing ones. Overall, pre-pandemic trends worsened from the first lockdown but were starting to slowly recover by the end of 2020 and the beginning of 2021. There is, however, more variability across ethnic </w:t>
      </w:r>
      <w:r w:rsidRPr="00601133">
        <w:rPr>
          <w:rFonts w:ascii="Calibri" w:hAnsi="Calibri" w:cs="Calibri"/>
          <w:lang w:val="en-GB"/>
        </w:rPr>
        <w:t xml:space="preserve">minorities where the recovery has been slower, </w:t>
      </w:r>
      <w:r w:rsidR="00A54BFC" w:rsidRPr="00601133">
        <w:rPr>
          <w:rFonts w:ascii="Calibri" w:hAnsi="Calibri" w:cs="Calibri"/>
          <w:lang w:val="en-GB"/>
        </w:rPr>
        <w:t>widening</w:t>
      </w:r>
      <w:r w:rsidRPr="00601133">
        <w:rPr>
          <w:rFonts w:ascii="Calibri" w:hAnsi="Calibri" w:cs="Calibri"/>
          <w:lang w:val="en-GB"/>
        </w:rPr>
        <w:t xml:space="preserve"> the </w:t>
      </w:r>
      <w:r w:rsidR="00B4221D" w:rsidRPr="00601133">
        <w:rPr>
          <w:rFonts w:ascii="Calibri" w:hAnsi="Calibri" w:cs="Calibri"/>
          <w:lang w:val="en-GB"/>
        </w:rPr>
        <w:t xml:space="preserve">ethnic </w:t>
      </w:r>
      <w:r w:rsidRPr="00601133">
        <w:rPr>
          <w:rFonts w:ascii="Calibri" w:hAnsi="Calibri" w:cs="Calibri"/>
          <w:lang w:val="en-GB"/>
        </w:rPr>
        <w:t>gap already present before the pandemic.</w:t>
      </w:r>
    </w:p>
    <w:p w14:paraId="33E9ABFA" w14:textId="2DF5F6FF" w:rsidR="00952ED2" w:rsidRDefault="00952ED2" w:rsidP="00720BC9">
      <w:pPr>
        <w:pStyle w:val="BodyText"/>
        <w:jc w:val="both"/>
        <w:rPr>
          <w:rFonts w:ascii="Calibri" w:hAnsi="Calibri" w:cs="Calibri"/>
          <w:lang w:val="en-GB"/>
        </w:rPr>
      </w:pPr>
      <w:r w:rsidRPr="00601133">
        <w:rPr>
          <w:rFonts w:ascii="Calibri" w:hAnsi="Calibri" w:cs="Calibri"/>
          <w:lang w:val="en-GB"/>
        </w:rPr>
        <w:t xml:space="preserve">As we </w:t>
      </w:r>
      <w:r w:rsidR="00B4221D" w:rsidRPr="00601133">
        <w:rPr>
          <w:rFonts w:ascii="Calibri" w:hAnsi="Calibri" w:cs="Calibri"/>
          <w:lang w:val="en-GB"/>
        </w:rPr>
        <w:t>saw</w:t>
      </w:r>
      <w:r w:rsidRPr="00601133">
        <w:rPr>
          <w:rFonts w:ascii="Calibri" w:hAnsi="Calibri" w:cs="Calibri"/>
          <w:lang w:val="en-GB"/>
        </w:rPr>
        <w:t xml:space="preserve"> some signs of a jobs’ recovery in 2021</w:t>
      </w:r>
      <w:r w:rsidR="00A54BFC" w:rsidRPr="00601133">
        <w:rPr>
          <w:rFonts w:ascii="Calibri" w:hAnsi="Calibri" w:cs="Calibri"/>
          <w:lang w:val="en-GB"/>
        </w:rPr>
        <w:t>,</w:t>
      </w:r>
      <w:r w:rsidRPr="00601133">
        <w:rPr>
          <w:rFonts w:ascii="Calibri" w:hAnsi="Calibri" w:cs="Calibri"/>
          <w:lang w:val="en-GB"/>
        </w:rPr>
        <w:t xml:space="preserve"> for some groups of </w:t>
      </w:r>
      <w:r w:rsidR="00601133" w:rsidRPr="00601133">
        <w:rPr>
          <w:rFonts w:ascii="Calibri" w:hAnsi="Calibri" w:cs="Calibri"/>
          <w:lang w:val="en-GB"/>
        </w:rPr>
        <w:t>workers</w:t>
      </w:r>
      <w:r w:rsidRPr="00601133">
        <w:rPr>
          <w:rFonts w:ascii="Calibri" w:hAnsi="Calibri" w:cs="Calibri"/>
          <w:lang w:val="en-GB"/>
        </w:rPr>
        <w:t xml:space="preserve">, we are also approaching the end of the furlough scheme that has protected against higher levels of redundancy. Its </w:t>
      </w:r>
      <w:r w:rsidR="00E16C85" w:rsidRPr="00601133">
        <w:rPr>
          <w:rFonts w:ascii="Calibri" w:hAnsi="Calibri" w:cs="Calibri"/>
          <w:lang w:val="en-GB"/>
        </w:rPr>
        <w:t xml:space="preserve">looming </w:t>
      </w:r>
      <w:r w:rsidRPr="00601133">
        <w:rPr>
          <w:rFonts w:ascii="Calibri" w:hAnsi="Calibri" w:cs="Calibri"/>
          <w:lang w:val="en-GB"/>
        </w:rPr>
        <w:t xml:space="preserve">closure in September </w:t>
      </w:r>
      <w:r w:rsidR="00E16C85" w:rsidRPr="00601133">
        <w:rPr>
          <w:rFonts w:ascii="Calibri" w:hAnsi="Calibri" w:cs="Calibri"/>
          <w:lang w:val="en-GB"/>
        </w:rPr>
        <w:t xml:space="preserve">2021 </w:t>
      </w:r>
      <w:r w:rsidRPr="00601133">
        <w:rPr>
          <w:rFonts w:ascii="Calibri" w:hAnsi="Calibri" w:cs="Calibri"/>
          <w:lang w:val="en-GB"/>
        </w:rPr>
        <w:t xml:space="preserve">has the potential for higher levels of job losses, with women likely to </w:t>
      </w:r>
      <w:r w:rsidR="00E16C85" w:rsidRPr="00601133">
        <w:rPr>
          <w:rFonts w:ascii="Calibri" w:hAnsi="Calibri" w:cs="Calibri"/>
          <w:lang w:val="en-GB"/>
        </w:rPr>
        <w:t xml:space="preserve">be </w:t>
      </w:r>
      <w:r w:rsidRPr="00601133">
        <w:rPr>
          <w:rFonts w:ascii="Calibri" w:hAnsi="Calibri" w:cs="Calibri"/>
          <w:lang w:val="en-GB"/>
        </w:rPr>
        <w:t>impacted heavily.</w:t>
      </w:r>
    </w:p>
    <w:p w14:paraId="3A0A3F90" w14:textId="26775D3B"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Rising unemployment levels and the rapidly expanding numbers of people who lost their jobs and livelihoods due to employers cutting back on staff paint a worrying picture about work during the pandemic, including how workers - whose experiences were already shaped by intersecting inequalities of gender, </w:t>
      </w:r>
      <w:proofErr w:type="gramStart"/>
      <w:r w:rsidRPr="00395CF0">
        <w:rPr>
          <w:rFonts w:ascii="Calibri" w:hAnsi="Calibri" w:cs="Calibri"/>
          <w:lang w:val="en-GB"/>
        </w:rPr>
        <w:t>class</w:t>
      </w:r>
      <w:proofErr w:type="gramEnd"/>
      <w:r w:rsidRPr="00395CF0">
        <w:rPr>
          <w:rFonts w:ascii="Calibri" w:hAnsi="Calibri" w:cs="Calibri"/>
          <w:lang w:val="en-GB"/>
        </w:rPr>
        <w:t xml:space="preserve"> and ethnicity - fared as the pandemic rolled out. Yet they do not tell the full story. In our next report, we look at precariousness: how precarious has our work become and which groups are most affected?</w:t>
      </w:r>
    </w:p>
    <w:p w14:paraId="6F6476A4" w14:textId="77777777" w:rsidR="00720BC9" w:rsidRPr="00395CF0" w:rsidRDefault="00720BC9" w:rsidP="00720BC9">
      <w:pPr>
        <w:pStyle w:val="BodyText"/>
        <w:jc w:val="both"/>
        <w:rPr>
          <w:rFonts w:ascii="Calibri" w:hAnsi="Calibri" w:cs="Calibri"/>
          <w:lang w:val="en-GB"/>
        </w:rPr>
      </w:pPr>
    </w:p>
    <w:p w14:paraId="69D261FF" w14:textId="77777777" w:rsidR="00F531D6" w:rsidRPr="00395CF0" w:rsidRDefault="00F531D6">
      <w:pPr>
        <w:pStyle w:val="Heading1"/>
        <w:rPr>
          <w:rFonts w:ascii="Calibri" w:hAnsi="Calibri" w:cs="Calibri"/>
          <w:lang w:val="en-GB"/>
        </w:rPr>
        <w:sectPr w:rsidR="00F531D6" w:rsidRPr="00395CF0">
          <w:pgSz w:w="12240" w:h="15840"/>
          <w:pgMar w:top="1440" w:right="1440" w:bottom="1440" w:left="1440" w:header="720" w:footer="720" w:gutter="0"/>
          <w:cols w:space="720"/>
        </w:sectPr>
      </w:pPr>
      <w:bookmarkStart w:id="18" w:name="the-project-and-its-data"/>
      <w:bookmarkEnd w:id="16"/>
    </w:p>
    <w:p w14:paraId="3A0A3F91" w14:textId="449A2D8D" w:rsidR="00666639" w:rsidRPr="00395CF0" w:rsidRDefault="005F0458">
      <w:pPr>
        <w:pStyle w:val="Heading1"/>
        <w:rPr>
          <w:rFonts w:ascii="Calibri" w:hAnsi="Calibri" w:cs="Calibri"/>
          <w:lang w:val="en-GB"/>
        </w:rPr>
      </w:pPr>
      <w:bookmarkStart w:id="19" w:name="_Toc72997401"/>
      <w:r w:rsidRPr="00395CF0">
        <w:rPr>
          <w:rFonts w:ascii="Calibri" w:hAnsi="Calibri" w:cs="Calibri"/>
          <w:lang w:val="en-GB"/>
        </w:rPr>
        <w:lastRenderedPageBreak/>
        <w:t>The Project and its Data</w:t>
      </w:r>
      <w:bookmarkEnd w:id="19"/>
    </w:p>
    <w:p w14:paraId="2FF516DD" w14:textId="77777777" w:rsidR="00E70EC8" w:rsidRPr="00395CF0" w:rsidRDefault="005F0458" w:rsidP="005F0458">
      <w:pPr>
        <w:pStyle w:val="FirstParagraph"/>
        <w:jc w:val="both"/>
        <w:rPr>
          <w:rFonts w:ascii="Calibri" w:hAnsi="Calibri" w:cs="Calibri"/>
          <w:lang w:val="en-GB"/>
        </w:rPr>
      </w:pPr>
      <w:r w:rsidRPr="00395CF0">
        <w:rPr>
          <w:rFonts w:ascii="Calibri" w:hAnsi="Calibri" w:cs="Calibri"/>
          <w:lang w:val="en-GB"/>
        </w:rPr>
        <w:t xml:space="preserve">Our project ‘How is COVID-19 impacting women and men’s working lives in the UK?’ is funded by Health Data Research UK, as part of the rapid funding call to use and enrich the data within the Data &amp; Connectivity National Core Study (NCS) capability. This report draws on the analysis of the 2019/20/21 releases of the UK Labour Force Survey (LFS). Respondents are interviewed for five successive waves at three-months intervals and approximately 20% of the sample is replaced every quarter. Four quarters releases are supported in a typical year: Jan-Mar | Apr-Jun | Jul-Sep | Oct-Dec. From 2020, additional non-calendar quarter data have been released in response to the context of the coronavirus pandemic. Besides the four calendar quarters per year, 2020 included another eight releases of data. The last two quarters also included data for January and February 2021. Our analyses consider only the economically active population between 18-64 years old. </w:t>
      </w:r>
    </w:p>
    <w:p w14:paraId="4B2DE53B" w14:textId="52C37890" w:rsidR="005F0458" w:rsidRPr="00395CF0" w:rsidRDefault="005F0458" w:rsidP="005F0458">
      <w:pPr>
        <w:pStyle w:val="FirstParagraph"/>
        <w:jc w:val="both"/>
        <w:rPr>
          <w:lang w:val="en-GB"/>
        </w:rPr>
      </w:pPr>
      <w:r w:rsidRPr="00395CF0">
        <w:rPr>
          <w:rFonts w:ascii="Calibri" w:hAnsi="Calibri" w:cs="Calibri"/>
          <w:lang w:val="en-GB"/>
        </w:rPr>
        <w:t xml:space="preserve">Table 1 summarises the sample size and population </w:t>
      </w:r>
      <w:proofErr w:type="gramStart"/>
      <w:r w:rsidRPr="00395CF0">
        <w:rPr>
          <w:rFonts w:ascii="Calibri" w:hAnsi="Calibri" w:cs="Calibri"/>
          <w:lang w:val="en-GB"/>
        </w:rPr>
        <w:t>estimates</w:t>
      </w:r>
      <w:proofErr w:type="gramEnd"/>
      <w:r w:rsidRPr="00395CF0">
        <w:rPr>
          <w:rFonts w:ascii="Calibri" w:hAnsi="Calibri" w:cs="Calibri"/>
          <w:lang w:val="en-GB"/>
        </w:rPr>
        <w:t xml:space="preserve"> for all the data waves considered in this analysis. </w:t>
      </w:r>
    </w:p>
    <w:p w14:paraId="5553D393" w14:textId="77777777" w:rsidR="005F0458" w:rsidRPr="00395CF0" w:rsidRDefault="005F0458" w:rsidP="005F0458">
      <w:pPr>
        <w:pStyle w:val="table0"/>
        <w:jc w:val="center"/>
        <w:rPr>
          <w:rFonts w:ascii="Calibri" w:hAnsi="Calibri" w:cs="Calibri"/>
          <w:lang w:val="en-GB"/>
        </w:rPr>
      </w:pPr>
      <w:r w:rsidRPr="00395CF0">
        <w:rPr>
          <w:rFonts w:ascii="Calibri" w:hAnsi="Calibri" w:cs="Calibri"/>
          <w:lang w:val="en-GB"/>
        </w:rPr>
        <w:t>Table 1: Sample size and population estimates</w:t>
      </w:r>
    </w:p>
    <w:tbl>
      <w:tblPr>
        <w:tblW w:w="0" w:type="auto"/>
        <w:jc w:val="center"/>
        <w:tblLayout w:type="fixed"/>
        <w:tblLook w:val="0420" w:firstRow="1" w:lastRow="0" w:firstColumn="0" w:lastColumn="0" w:noHBand="0" w:noVBand="1"/>
      </w:tblPr>
      <w:tblGrid>
        <w:gridCol w:w="1511"/>
        <w:gridCol w:w="1193"/>
        <w:gridCol w:w="2623"/>
        <w:gridCol w:w="2550"/>
      </w:tblGrid>
      <w:tr w:rsidR="005F0458" w:rsidRPr="00395CF0" w14:paraId="1AD4D90A" w14:textId="77777777" w:rsidTr="006869A4">
        <w:trPr>
          <w:cantSplit/>
          <w:tblHeader/>
          <w:jc w:val="center"/>
        </w:trPr>
        <w:tc>
          <w:tcPr>
            <w:tcW w:w="15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E88D44" w14:textId="77777777" w:rsidR="005F0458" w:rsidRPr="00395CF0" w:rsidRDefault="005F0458" w:rsidP="006869A4">
            <w:pPr>
              <w:ind w:left="100" w:right="100"/>
              <w:rPr>
                <w:rFonts w:ascii="Calibri" w:hAnsi="Calibri" w:cs="Calibri"/>
              </w:rPr>
            </w:pPr>
            <w:r w:rsidRPr="00395CF0">
              <w:rPr>
                <w:rFonts w:ascii="Calibri" w:eastAsia="Arial" w:hAnsi="Calibri" w:cs="Calibri"/>
                <w:b/>
                <w:color w:val="000000"/>
                <w:sz w:val="22"/>
                <w:szCs w:val="22"/>
              </w:rPr>
              <w:t>Quarter</w:t>
            </w:r>
          </w:p>
        </w:tc>
        <w:tc>
          <w:tcPr>
            <w:tcW w:w="11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801B87"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b/>
                <w:color w:val="000000"/>
                <w:sz w:val="22"/>
                <w:szCs w:val="22"/>
              </w:rPr>
              <w:t>Sample</w:t>
            </w:r>
          </w:p>
        </w:tc>
        <w:tc>
          <w:tcPr>
            <w:tcW w:w="26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AD023B"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b/>
                <w:color w:val="000000"/>
                <w:sz w:val="22"/>
                <w:szCs w:val="22"/>
              </w:rPr>
              <w:t>Population estimates</w:t>
            </w:r>
          </w:p>
        </w:tc>
        <w:tc>
          <w:tcPr>
            <w:tcW w:w="25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3B5265"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b/>
                <w:color w:val="000000"/>
                <w:sz w:val="22"/>
                <w:szCs w:val="22"/>
              </w:rPr>
              <w:t>Economically Active</w:t>
            </w:r>
          </w:p>
        </w:tc>
      </w:tr>
      <w:tr w:rsidR="005F0458" w:rsidRPr="00395CF0" w14:paraId="493E2ECD" w14:textId="77777777" w:rsidTr="006869A4">
        <w:trPr>
          <w:cantSplit/>
          <w:jc w:val="center"/>
        </w:trPr>
        <w:tc>
          <w:tcPr>
            <w:tcW w:w="1511" w:type="dxa"/>
            <w:tcBorders>
              <w:bottom w:val="single" w:sz="4" w:space="0" w:color="666666"/>
            </w:tcBorders>
            <w:shd w:val="clear" w:color="auto" w:fill="FFFFFF"/>
            <w:tcMar>
              <w:top w:w="0" w:type="dxa"/>
              <w:left w:w="0" w:type="dxa"/>
              <w:bottom w:w="0" w:type="dxa"/>
              <w:right w:w="0" w:type="dxa"/>
            </w:tcMar>
            <w:vAlign w:val="center"/>
          </w:tcPr>
          <w:p w14:paraId="72972122"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Jan/Mar19</w:t>
            </w:r>
          </w:p>
        </w:tc>
        <w:tc>
          <w:tcPr>
            <w:tcW w:w="1193" w:type="dxa"/>
            <w:tcBorders>
              <w:bottom w:val="single" w:sz="4" w:space="0" w:color="666666"/>
            </w:tcBorders>
            <w:shd w:val="clear" w:color="auto" w:fill="FFFFFF"/>
            <w:tcMar>
              <w:top w:w="0" w:type="dxa"/>
              <w:left w:w="0" w:type="dxa"/>
              <w:bottom w:w="0" w:type="dxa"/>
              <w:right w:w="0" w:type="dxa"/>
            </w:tcMar>
            <w:vAlign w:val="center"/>
          </w:tcPr>
          <w:p w14:paraId="2ADF00A7"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52,222</w:t>
            </w:r>
          </w:p>
        </w:tc>
        <w:tc>
          <w:tcPr>
            <w:tcW w:w="2623" w:type="dxa"/>
            <w:tcBorders>
              <w:bottom w:val="single" w:sz="4" w:space="0" w:color="666666"/>
            </w:tcBorders>
            <w:shd w:val="clear" w:color="auto" w:fill="FFFFFF"/>
            <w:tcMar>
              <w:top w:w="0" w:type="dxa"/>
              <w:left w:w="0" w:type="dxa"/>
              <w:bottom w:w="0" w:type="dxa"/>
              <w:right w:w="0" w:type="dxa"/>
            </w:tcMar>
            <w:vAlign w:val="center"/>
          </w:tcPr>
          <w:p w14:paraId="4828BE57"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39,911,453</w:t>
            </w:r>
          </w:p>
        </w:tc>
        <w:tc>
          <w:tcPr>
            <w:tcW w:w="2550" w:type="dxa"/>
            <w:tcBorders>
              <w:bottom w:val="single" w:sz="4" w:space="0" w:color="666666"/>
            </w:tcBorders>
            <w:shd w:val="clear" w:color="auto" w:fill="FFFFFF"/>
            <w:tcMar>
              <w:top w:w="0" w:type="dxa"/>
              <w:left w:w="0" w:type="dxa"/>
              <w:bottom w:w="0" w:type="dxa"/>
              <w:right w:w="0" w:type="dxa"/>
            </w:tcMar>
            <w:vAlign w:val="center"/>
          </w:tcPr>
          <w:p w14:paraId="5E1AE7DF"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32,222,551</w:t>
            </w:r>
          </w:p>
        </w:tc>
      </w:tr>
      <w:tr w:rsidR="005F0458" w:rsidRPr="00395CF0" w14:paraId="2FED1B07"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651AD"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Apr/Jun19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84692"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51,536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81818"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39,931,714</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12E60"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32,264,503</w:t>
            </w:r>
          </w:p>
        </w:tc>
      </w:tr>
      <w:tr w:rsidR="005F0458" w:rsidRPr="00395CF0" w14:paraId="5AE27F75"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2A2A7"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Jul/Sep19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6A29B"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50,804</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8E827"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39,948,976</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F03D2"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32,388,135</w:t>
            </w:r>
          </w:p>
        </w:tc>
      </w:tr>
      <w:tr w:rsidR="005F0458" w:rsidRPr="00395CF0" w14:paraId="62A366AC"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0821F"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Oct/Dec19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CB834"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50,260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36DA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39,964,209</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31D99"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32,466,408</w:t>
            </w:r>
          </w:p>
        </w:tc>
      </w:tr>
      <w:tr w:rsidR="005F0458" w:rsidRPr="00395CF0" w14:paraId="31A85834"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6CA7F"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Jan/Mar20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34732"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46,355</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F39EF"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39,979,018</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E4775"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32,494,842</w:t>
            </w:r>
          </w:p>
        </w:tc>
      </w:tr>
      <w:tr w:rsidR="005F0458" w:rsidRPr="00395CF0" w14:paraId="4C4BC546"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C90BE"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Feb/Apr20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9984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43,712</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47C30"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39,984,367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D42E3"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32,337,767</w:t>
            </w:r>
          </w:p>
        </w:tc>
      </w:tr>
      <w:tr w:rsidR="005F0458" w:rsidRPr="00395CF0" w14:paraId="2FFA1AFB"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BDADC"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Mar/May20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7E7E3"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41,756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7D19F"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40,002,908</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198A7"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32,276,356</w:t>
            </w:r>
          </w:p>
        </w:tc>
      </w:tr>
      <w:tr w:rsidR="005F0458" w:rsidRPr="00395CF0" w14:paraId="716EBD44"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9E0A2"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Apr/Jun20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B6B56"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41,490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19CD4"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39,994,599</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5A6202"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32,275,978</w:t>
            </w:r>
          </w:p>
        </w:tc>
      </w:tr>
      <w:tr w:rsidR="005F0458" w:rsidRPr="00395CF0" w14:paraId="7EE1D7C3"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FD20A"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May/Jul20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998AF"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41,066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33D41"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39,999,636</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1AB9F"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32,396,701</w:t>
            </w:r>
          </w:p>
        </w:tc>
      </w:tr>
      <w:tr w:rsidR="005F0458" w:rsidRPr="00395CF0" w14:paraId="7824C473"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F4E59"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Jun/Aug20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D8593"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40,400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A18B0"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40,002,744</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2124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32,482,220</w:t>
            </w:r>
          </w:p>
        </w:tc>
      </w:tr>
      <w:tr w:rsidR="005F0458" w:rsidRPr="00395CF0" w14:paraId="13A93A9F"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15DA0"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Jul/Sep20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181B1"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40,597</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9307A"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40,005,767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5959B"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32,506,920</w:t>
            </w:r>
          </w:p>
        </w:tc>
      </w:tr>
      <w:tr w:rsidR="005F0458" w:rsidRPr="00395CF0" w14:paraId="3F07255B"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A9B09"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Aug/Oct20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A87BB"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41,407</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5D424"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40,008,867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7866A8"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32,561,227</w:t>
            </w:r>
          </w:p>
        </w:tc>
      </w:tr>
      <w:tr w:rsidR="005F0458" w:rsidRPr="00395CF0" w14:paraId="7752623D"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0E44F"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Sep/Nov20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372C8"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42,703</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73275"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40,011,993</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77724"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32,587,893</w:t>
            </w:r>
          </w:p>
        </w:tc>
      </w:tr>
      <w:tr w:rsidR="005F0458" w:rsidRPr="00395CF0" w14:paraId="17577189"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FA6E9"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Oct/Dec20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31016"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43,494</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CF4D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40,015,041</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A5FB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32,502,080</w:t>
            </w:r>
          </w:p>
        </w:tc>
      </w:tr>
      <w:tr w:rsidR="005F0458" w:rsidRPr="00395CF0" w14:paraId="45114AE1"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B5E21"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Nov/Jan21</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6C4CC"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44,640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89169"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40,018,093</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F580A"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32,469,394</w:t>
            </w:r>
          </w:p>
        </w:tc>
      </w:tr>
      <w:tr w:rsidR="005F0458" w:rsidRPr="00395CF0" w14:paraId="3C503E42" w14:textId="77777777" w:rsidTr="006869A4">
        <w:trPr>
          <w:cantSplit/>
          <w:jc w:val="center"/>
        </w:trPr>
        <w:tc>
          <w:tcPr>
            <w:tcW w:w="151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726C02" w14:textId="77777777" w:rsidR="005F0458" w:rsidRPr="00395CF0" w:rsidRDefault="005F0458" w:rsidP="006869A4">
            <w:pPr>
              <w:ind w:left="100" w:right="100"/>
              <w:rPr>
                <w:rFonts w:ascii="Calibri" w:hAnsi="Calibri" w:cs="Calibri"/>
              </w:rPr>
            </w:pPr>
            <w:r w:rsidRPr="00395CF0">
              <w:rPr>
                <w:rFonts w:ascii="Calibri" w:eastAsia="Arial" w:hAnsi="Calibri" w:cs="Calibri"/>
                <w:color w:val="000000"/>
                <w:sz w:val="22"/>
                <w:szCs w:val="22"/>
              </w:rPr>
              <w:t>Dec/Feb21</w:t>
            </w:r>
          </w:p>
        </w:tc>
        <w:tc>
          <w:tcPr>
            <w:tcW w:w="11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67381"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46,127</w:t>
            </w:r>
          </w:p>
        </w:tc>
        <w:tc>
          <w:tcPr>
            <w:tcW w:w="26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7A9C91E"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40,021,374</w:t>
            </w:r>
          </w:p>
        </w:tc>
        <w:tc>
          <w:tcPr>
            <w:tcW w:w="25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957902" w14:textId="77777777" w:rsidR="005F0458" w:rsidRPr="00395CF0" w:rsidRDefault="005F0458" w:rsidP="006869A4">
            <w:pPr>
              <w:ind w:left="100" w:right="100"/>
              <w:jc w:val="center"/>
              <w:rPr>
                <w:rFonts w:ascii="Calibri" w:hAnsi="Calibri" w:cs="Calibri"/>
              </w:rPr>
            </w:pPr>
            <w:r w:rsidRPr="00395CF0">
              <w:rPr>
                <w:rFonts w:ascii="Calibri" w:eastAsia="Arial" w:hAnsi="Calibri" w:cs="Calibri"/>
                <w:color w:val="000000"/>
                <w:sz w:val="22"/>
                <w:szCs w:val="22"/>
              </w:rPr>
              <w:t>32,490,505</w:t>
            </w:r>
          </w:p>
        </w:tc>
      </w:tr>
      <w:tr w:rsidR="005F0458" w:rsidRPr="00395CF0" w14:paraId="2CA281D7" w14:textId="77777777" w:rsidTr="006869A4">
        <w:trPr>
          <w:cantSplit/>
          <w:jc w:val="center"/>
        </w:trPr>
        <w:tc>
          <w:tcPr>
            <w:tcW w:w="7877" w:type="dxa"/>
            <w:gridSpan w:val="4"/>
            <w:shd w:val="clear" w:color="auto" w:fill="FFFFFF"/>
            <w:tcMar>
              <w:top w:w="0" w:type="dxa"/>
              <w:left w:w="0" w:type="dxa"/>
              <w:bottom w:w="0" w:type="dxa"/>
              <w:right w:w="0" w:type="dxa"/>
            </w:tcMar>
            <w:vAlign w:val="center"/>
          </w:tcPr>
          <w:p w14:paraId="6D713F9E" w14:textId="77777777" w:rsidR="005F0458" w:rsidRPr="00395CF0" w:rsidRDefault="005F0458" w:rsidP="006869A4">
            <w:pPr>
              <w:ind w:left="100" w:right="100"/>
              <w:rPr>
                <w:rFonts w:ascii="Calibri" w:hAnsi="Calibri" w:cs="Calibri"/>
              </w:rPr>
            </w:pPr>
            <w:r w:rsidRPr="00395CF0">
              <w:rPr>
                <w:rFonts w:ascii="Calibri" w:eastAsia="Arial" w:hAnsi="Calibri" w:cs="Calibri"/>
                <w:color w:val="666666"/>
                <w:sz w:val="22"/>
                <w:szCs w:val="22"/>
              </w:rPr>
              <w:t>Source: UK Labour Force Survey (Person)</w:t>
            </w:r>
          </w:p>
        </w:tc>
      </w:tr>
    </w:tbl>
    <w:p w14:paraId="1FB1D448" w14:textId="77777777" w:rsidR="005F0458" w:rsidRPr="00395CF0" w:rsidRDefault="005F0458" w:rsidP="00720BC9">
      <w:pPr>
        <w:pStyle w:val="FirstParagraph"/>
        <w:jc w:val="both"/>
        <w:rPr>
          <w:rFonts w:ascii="Calibri" w:hAnsi="Calibri" w:cs="Calibri"/>
          <w:lang w:val="en-GB"/>
        </w:rPr>
      </w:pPr>
    </w:p>
    <w:p w14:paraId="3A0A3F92" w14:textId="6B2E6AD6" w:rsidR="00666639" w:rsidRPr="00395CF0" w:rsidRDefault="005F0458" w:rsidP="00720BC9">
      <w:pPr>
        <w:pStyle w:val="FirstParagraph"/>
        <w:jc w:val="both"/>
        <w:rPr>
          <w:rFonts w:ascii="Calibri" w:hAnsi="Calibri" w:cs="Calibri"/>
          <w:lang w:val="en-GB"/>
        </w:rPr>
      </w:pPr>
      <w:r w:rsidRPr="00395CF0">
        <w:rPr>
          <w:rFonts w:ascii="Calibri" w:hAnsi="Calibri" w:cs="Calibri"/>
          <w:lang w:val="en-GB"/>
        </w:rPr>
        <w:t>The economically active population includes those people in employment plus those who are unemployed. We focus on understanding how COVID-19 impacted on:</w:t>
      </w:r>
    </w:p>
    <w:p w14:paraId="4F4E18E2" w14:textId="644E536E" w:rsidR="00FB3F0D" w:rsidRPr="00395CF0" w:rsidRDefault="005F0458" w:rsidP="00FB3F0D">
      <w:pPr>
        <w:pStyle w:val="BodyText"/>
        <w:numPr>
          <w:ilvl w:val="0"/>
          <w:numId w:val="4"/>
        </w:numPr>
        <w:jc w:val="both"/>
        <w:rPr>
          <w:rFonts w:ascii="Calibri" w:hAnsi="Calibri" w:cs="Calibri"/>
          <w:lang w:val="en-GB"/>
        </w:rPr>
      </w:pPr>
      <w:r w:rsidRPr="00395CF0">
        <w:rPr>
          <w:rFonts w:ascii="Calibri" w:hAnsi="Calibri" w:cs="Calibri"/>
          <w:lang w:val="en-GB"/>
        </w:rPr>
        <w:lastRenderedPageBreak/>
        <w:t xml:space="preserve">Unemployment: the percentage of economically active people between 18-64 years old who are out of work. </w:t>
      </w:r>
    </w:p>
    <w:p w14:paraId="3A0A3F93" w14:textId="2BE3989A" w:rsidR="00666639" w:rsidRPr="00395CF0" w:rsidRDefault="005F0458" w:rsidP="00FB3F0D">
      <w:pPr>
        <w:pStyle w:val="BodyText"/>
        <w:numPr>
          <w:ilvl w:val="0"/>
          <w:numId w:val="4"/>
        </w:numPr>
        <w:jc w:val="both"/>
        <w:rPr>
          <w:rFonts w:ascii="Calibri" w:hAnsi="Calibri" w:cs="Calibri"/>
          <w:lang w:val="en-GB"/>
        </w:rPr>
      </w:pPr>
      <w:r w:rsidRPr="00395CF0">
        <w:rPr>
          <w:rFonts w:ascii="Calibri" w:hAnsi="Calibri" w:cs="Calibri"/>
          <w:lang w:val="en-GB"/>
        </w:rPr>
        <w:t>Redundancies: the number of people who reported that they had been made redundant or had taken voluntary redundancy in the last three months.</w:t>
      </w:r>
    </w:p>
    <w:p w14:paraId="3A0A3F94" w14:textId="3A06C959"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 xml:space="preserve">Our analysis by gender is restricted because far more women than men are outside of the formal labour force (sometimes, problematically, called ‘economically inactive’). For more details on women and </w:t>
      </w:r>
      <w:proofErr w:type="gramStart"/>
      <w:r w:rsidRPr="00395CF0">
        <w:rPr>
          <w:rFonts w:ascii="Calibri" w:hAnsi="Calibri" w:cs="Calibri"/>
          <w:lang w:val="en-GB"/>
        </w:rPr>
        <w:t>men’s</w:t>
      </w:r>
      <w:proofErr w:type="gramEnd"/>
      <w:r w:rsidRPr="00395CF0">
        <w:rPr>
          <w:rFonts w:ascii="Calibri" w:hAnsi="Calibri" w:cs="Calibri"/>
          <w:lang w:val="en-GB"/>
        </w:rPr>
        <w:t xml:space="preserve"> paid and unpaid work see our project website at </w:t>
      </w:r>
      <w:hyperlink r:id="rId23">
        <w:r w:rsidRPr="00395CF0">
          <w:rPr>
            <w:rStyle w:val="Hyperlink"/>
            <w:rFonts w:ascii="Calibri" w:hAnsi="Calibri" w:cs="Calibri"/>
            <w:lang w:val="en-GB"/>
          </w:rPr>
          <w:t>https://www.nottingham.ac.uk/business/research/carrying-the-work-burden-of-covid-19/</w:t>
        </w:r>
      </w:hyperlink>
    </w:p>
    <w:p w14:paraId="3A0A3F95" w14:textId="77777777"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We follow the trend pre- and post-pandemic, considering March/May 2020 as the reference point. We trace the pre-pandemic trend up to the first 2019 quarter (Jan/March). We do this to identify if the COVID-19 pandemic is narrowing or reinforcing existing inequalities in the UK.</w:t>
      </w:r>
    </w:p>
    <w:p w14:paraId="3A0A3F96" w14:textId="2EDC3127" w:rsidR="00666639" w:rsidRPr="00395CF0" w:rsidRDefault="005F0458" w:rsidP="00720BC9">
      <w:pPr>
        <w:pStyle w:val="BodyText"/>
        <w:jc w:val="both"/>
        <w:rPr>
          <w:rFonts w:ascii="Calibri" w:hAnsi="Calibri" w:cs="Calibri"/>
          <w:lang w:val="en-GB"/>
        </w:rPr>
      </w:pPr>
      <w:r w:rsidRPr="00395CF0">
        <w:rPr>
          <w:rFonts w:ascii="Calibri" w:hAnsi="Calibri" w:cs="Calibri"/>
          <w:lang w:val="en-GB"/>
        </w:rPr>
        <w:t>It is important to note that the LFS responses are weighted to official population projections that pre-date the COVID-19 pandemic. This particularly affects estimates for ethnicity. This implies that levels and differences in levels should be used with caution. Despite this, sample level estimates show a similar trend regarding gender differences for each group.</w:t>
      </w:r>
    </w:p>
    <w:bookmarkEnd w:id="18"/>
    <w:p w14:paraId="3A0A3FEF" w14:textId="04BC5C92" w:rsidR="00DC1C4D" w:rsidRPr="00395CF0" w:rsidRDefault="00DC1C4D">
      <w:pPr>
        <w:rPr>
          <w:rFonts w:ascii="Calibri" w:hAnsi="Calibri" w:cs="Calibri"/>
        </w:rPr>
      </w:pPr>
    </w:p>
    <w:p w14:paraId="0353F89B" w14:textId="77777777" w:rsidR="00026F02" w:rsidRPr="00395CF0" w:rsidRDefault="00026F02" w:rsidP="00FB169B">
      <w:pPr>
        <w:pStyle w:val="Heading1"/>
        <w:rPr>
          <w:lang w:val="en-GB"/>
        </w:rPr>
        <w:sectPr w:rsidR="00026F02" w:rsidRPr="00395CF0">
          <w:pgSz w:w="12240" w:h="15840"/>
          <w:pgMar w:top="1440" w:right="1440" w:bottom="1440" w:left="1440" w:header="720" w:footer="720" w:gutter="0"/>
          <w:cols w:space="720"/>
        </w:sectPr>
      </w:pPr>
    </w:p>
    <w:p w14:paraId="17DF1F34" w14:textId="499C1164" w:rsidR="00071BF1" w:rsidRPr="00395CF0" w:rsidRDefault="00071BF1" w:rsidP="00FB169B">
      <w:pPr>
        <w:pStyle w:val="Heading1"/>
        <w:rPr>
          <w:rFonts w:ascii="Calibri" w:hAnsi="Calibri" w:cs="Calibri"/>
          <w:lang w:val="en-GB"/>
        </w:rPr>
      </w:pPr>
      <w:bookmarkStart w:id="20" w:name="_Toc72997402"/>
      <w:r w:rsidRPr="00395CF0">
        <w:rPr>
          <w:rFonts w:ascii="Calibri" w:hAnsi="Calibri" w:cs="Calibri"/>
          <w:lang w:val="en-GB"/>
        </w:rPr>
        <w:lastRenderedPageBreak/>
        <w:t>For more information</w:t>
      </w:r>
      <w:bookmarkEnd w:id="20"/>
    </w:p>
    <w:p w14:paraId="5267D406" w14:textId="77777777" w:rsidR="00B7105A" w:rsidRPr="00395CF0" w:rsidRDefault="00B7105A" w:rsidP="00B7105A">
      <w:pPr>
        <w:pStyle w:val="ListParagraph"/>
        <w:ind w:left="270"/>
        <w:rPr>
          <w:rFonts w:ascii="Calibri" w:hAnsi="Calibri" w:cs="Calibri"/>
          <w:lang w:val="en-GB"/>
        </w:rPr>
      </w:pPr>
    </w:p>
    <w:p w14:paraId="37B6B242" w14:textId="77777777" w:rsidR="00584557" w:rsidRPr="005F29AD" w:rsidRDefault="00CA1F75" w:rsidP="00584557">
      <w:pPr>
        <w:pStyle w:val="ListParagraph"/>
        <w:numPr>
          <w:ilvl w:val="0"/>
          <w:numId w:val="4"/>
        </w:numPr>
        <w:ind w:left="810" w:hanging="270"/>
        <w:rPr>
          <w:rFonts w:ascii="Calibri" w:hAnsi="Calibri" w:cs="Calibri"/>
          <w:lang w:val="es-419"/>
        </w:rPr>
      </w:pPr>
      <w:r w:rsidRPr="005F29AD">
        <w:rPr>
          <w:rFonts w:ascii="Calibri" w:hAnsi="Calibri" w:cs="Calibri"/>
          <w:lang w:val="es-419"/>
        </w:rPr>
        <w:t xml:space="preserve">Luis Torres: </w:t>
      </w:r>
      <w:r w:rsidR="00584D80">
        <w:fldChar w:fldCharType="begin"/>
      </w:r>
      <w:r w:rsidR="00584D80">
        <w:instrText xml:space="preserve"> HYPERLINK "mailto:luis.torres@nottingham.ac.uk" </w:instrText>
      </w:r>
      <w:r w:rsidR="00584D80">
        <w:fldChar w:fldCharType="separate"/>
      </w:r>
      <w:r w:rsidRPr="005F29AD">
        <w:rPr>
          <w:rStyle w:val="Hyperlink"/>
          <w:rFonts w:ascii="Calibri" w:hAnsi="Calibri" w:cs="Calibri"/>
          <w:lang w:val="es-419"/>
        </w:rPr>
        <w:t>luis.torres@nottingham.ac.uk</w:t>
      </w:r>
      <w:r w:rsidR="00584D80">
        <w:rPr>
          <w:rStyle w:val="Hyperlink"/>
          <w:rFonts w:ascii="Calibri" w:hAnsi="Calibri" w:cs="Calibri"/>
          <w:lang w:val="es-419"/>
        </w:rPr>
        <w:fldChar w:fldCharType="end"/>
      </w:r>
      <w:r w:rsidRPr="005F29AD">
        <w:rPr>
          <w:rFonts w:ascii="Calibri" w:hAnsi="Calibri" w:cs="Calibri"/>
          <w:lang w:val="es-419"/>
        </w:rPr>
        <w:t xml:space="preserve">; </w:t>
      </w:r>
    </w:p>
    <w:p w14:paraId="3C5EFC61" w14:textId="77777777" w:rsidR="00584557" w:rsidRPr="00395CF0" w:rsidRDefault="00071BF1" w:rsidP="00584557">
      <w:pPr>
        <w:pStyle w:val="ListParagraph"/>
        <w:ind w:left="810"/>
        <w:rPr>
          <w:rFonts w:ascii="Calibri" w:hAnsi="Calibri" w:cs="Calibri"/>
          <w:lang w:val="en-GB"/>
        </w:rPr>
      </w:pPr>
      <w:r w:rsidRPr="00395CF0">
        <w:rPr>
          <w:rFonts w:ascii="Calibri" w:hAnsi="Calibri" w:cs="Calibri"/>
          <w:lang w:val="en-GB"/>
        </w:rPr>
        <w:t xml:space="preserve">Tracey Warren: </w:t>
      </w:r>
      <w:hyperlink r:id="rId24" w:history="1">
        <w:r w:rsidR="003E1661" w:rsidRPr="00395CF0">
          <w:rPr>
            <w:rStyle w:val="Hyperlink"/>
            <w:rFonts w:ascii="Calibri" w:hAnsi="Calibri" w:cs="Calibri"/>
            <w:lang w:val="en-GB"/>
          </w:rPr>
          <w:t>tracey.warren@nottingham.ac.uk</w:t>
        </w:r>
      </w:hyperlink>
      <w:r w:rsidRPr="00395CF0">
        <w:rPr>
          <w:rFonts w:ascii="Calibri" w:hAnsi="Calibri" w:cs="Calibri"/>
          <w:lang w:val="en-GB"/>
        </w:rPr>
        <w:t>;</w:t>
      </w:r>
      <w:r w:rsidR="003E1661" w:rsidRPr="00395CF0">
        <w:rPr>
          <w:rFonts w:ascii="Calibri" w:hAnsi="Calibri" w:cs="Calibri"/>
          <w:lang w:val="en-GB"/>
        </w:rPr>
        <w:t xml:space="preserve"> </w:t>
      </w:r>
    </w:p>
    <w:p w14:paraId="6C6C1169" w14:textId="76E14D4A" w:rsidR="00405650" w:rsidRPr="00395CF0" w:rsidRDefault="00405650" w:rsidP="00584557">
      <w:pPr>
        <w:pStyle w:val="ListParagraph"/>
        <w:ind w:left="810"/>
        <w:rPr>
          <w:rFonts w:ascii="Calibri" w:hAnsi="Calibri" w:cs="Calibri"/>
          <w:lang w:val="en-GB"/>
        </w:rPr>
      </w:pPr>
      <w:proofErr w:type="spellStart"/>
      <w:r w:rsidRPr="00395CF0">
        <w:rPr>
          <w:rFonts w:ascii="Calibri" w:hAnsi="Calibri" w:cs="Calibri"/>
          <w:lang w:val="en-GB"/>
        </w:rPr>
        <w:t>Annegreet</w:t>
      </w:r>
      <w:proofErr w:type="spellEnd"/>
      <w:r w:rsidRPr="00395CF0">
        <w:rPr>
          <w:rFonts w:ascii="Calibri" w:hAnsi="Calibri" w:cs="Calibri"/>
          <w:lang w:val="en-GB"/>
        </w:rPr>
        <w:t xml:space="preserve"> </w:t>
      </w:r>
      <w:proofErr w:type="spellStart"/>
      <w:r w:rsidRPr="00395CF0">
        <w:rPr>
          <w:rFonts w:ascii="Calibri" w:hAnsi="Calibri" w:cs="Calibri"/>
          <w:lang w:val="en-GB"/>
        </w:rPr>
        <w:t>Veeken</w:t>
      </w:r>
      <w:proofErr w:type="spellEnd"/>
      <w:r w:rsidR="00CA1F75" w:rsidRPr="00395CF0">
        <w:rPr>
          <w:rFonts w:ascii="Calibri" w:hAnsi="Calibri" w:cs="Calibri"/>
          <w:lang w:val="en-GB"/>
        </w:rPr>
        <w:t xml:space="preserve">: </w:t>
      </w:r>
      <w:hyperlink r:id="rId25" w:history="1">
        <w:r w:rsidR="00CA1F75" w:rsidRPr="00395CF0">
          <w:rPr>
            <w:rStyle w:val="Hyperlink"/>
            <w:rFonts w:ascii="Calibri" w:hAnsi="Calibri" w:cs="Calibri"/>
            <w:lang w:val="en-GB"/>
          </w:rPr>
          <w:t>annegreet.veeken@nottingham.ac.uk</w:t>
        </w:r>
      </w:hyperlink>
      <w:r w:rsidR="00CA1F75" w:rsidRPr="00395CF0">
        <w:rPr>
          <w:rFonts w:ascii="Calibri" w:hAnsi="Calibri" w:cs="Calibri"/>
          <w:lang w:val="en-GB"/>
        </w:rPr>
        <w:t xml:space="preserve"> </w:t>
      </w:r>
    </w:p>
    <w:p w14:paraId="169D95F3" w14:textId="2B156E4B" w:rsidR="00071BF1" w:rsidRPr="00395CF0" w:rsidRDefault="00071BF1" w:rsidP="00584557">
      <w:pPr>
        <w:pStyle w:val="ListParagraph"/>
        <w:numPr>
          <w:ilvl w:val="0"/>
          <w:numId w:val="4"/>
        </w:numPr>
        <w:ind w:left="810" w:hanging="270"/>
        <w:rPr>
          <w:rFonts w:ascii="Calibri" w:hAnsi="Calibri" w:cs="Calibri"/>
          <w:lang w:val="en-GB"/>
        </w:rPr>
      </w:pPr>
      <w:r w:rsidRPr="00395CF0">
        <w:rPr>
          <w:rFonts w:ascii="Calibri" w:hAnsi="Calibri" w:cs="Calibri"/>
          <w:lang w:val="en-GB"/>
        </w:rPr>
        <w:t xml:space="preserve">Project website: </w:t>
      </w:r>
      <w:hyperlink r:id="rId26" w:history="1">
        <w:r w:rsidR="003E1661" w:rsidRPr="00395CF0">
          <w:rPr>
            <w:rStyle w:val="Hyperlink"/>
            <w:rFonts w:ascii="Calibri" w:hAnsi="Calibri" w:cs="Calibri"/>
            <w:lang w:val="en-GB"/>
          </w:rPr>
          <w:t>https://www.nottingham.ac.uk/business/research/carrying-the-work-burden-of-covid-19/index.aspx</w:t>
        </w:r>
      </w:hyperlink>
      <w:r w:rsidR="003E1661" w:rsidRPr="00395CF0">
        <w:rPr>
          <w:rFonts w:ascii="Calibri" w:hAnsi="Calibri" w:cs="Calibri"/>
          <w:lang w:val="en-GB"/>
        </w:rPr>
        <w:t xml:space="preserve"> </w:t>
      </w:r>
    </w:p>
    <w:p w14:paraId="368E571B" w14:textId="77777777" w:rsidR="00071BF1" w:rsidRPr="00395CF0" w:rsidRDefault="00071BF1" w:rsidP="00FB169B">
      <w:pPr>
        <w:pStyle w:val="Heading1"/>
        <w:rPr>
          <w:rFonts w:ascii="Calibri" w:hAnsi="Calibri" w:cs="Calibri"/>
          <w:lang w:val="en-GB"/>
        </w:rPr>
      </w:pPr>
      <w:bookmarkStart w:id="21" w:name="_Toc72997403"/>
      <w:r w:rsidRPr="00395CF0">
        <w:rPr>
          <w:rFonts w:ascii="Calibri" w:hAnsi="Calibri" w:cs="Calibri"/>
          <w:lang w:val="en-GB"/>
        </w:rPr>
        <w:t>Acknowledgements</w:t>
      </w:r>
      <w:bookmarkEnd w:id="21"/>
    </w:p>
    <w:p w14:paraId="2AC78327" w14:textId="77777777" w:rsidR="00B7105A" w:rsidRPr="00395CF0" w:rsidRDefault="00B7105A" w:rsidP="00B7105A">
      <w:pPr>
        <w:pStyle w:val="ListParagraph"/>
        <w:rPr>
          <w:rFonts w:ascii="Calibri" w:hAnsi="Calibri" w:cs="Calibri"/>
          <w:lang w:val="en-GB"/>
        </w:rPr>
      </w:pPr>
    </w:p>
    <w:p w14:paraId="0DB079C2" w14:textId="6280FB06" w:rsidR="00071BF1" w:rsidRPr="00395CF0" w:rsidRDefault="00071BF1" w:rsidP="00CD7CBB">
      <w:pPr>
        <w:pStyle w:val="ListParagraph"/>
        <w:numPr>
          <w:ilvl w:val="0"/>
          <w:numId w:val="4"/>
        </w:numPr>
        <w:jc w:val="both"/>
        <w:rPr>
          <w:rFonts w:ascii="Calibri" w:hAnsi="Calibri" w:cs="Calibri"/>
          <w:lang w:val="en-GB"/>
        </w:rPr>
      </w:pPr>
      <w:r w:rsidRPr="00395CF0">
        <w:rPr>
          <w:rFonts w:ascii="Calibri" w:hAnsi="Calibri" w:cs="Calibri"/>
          <w:lang w:val="en-GB"/>
        </w:rPr>
        <w:t>The project ‘</w:t>
      </w:r>
      <w:r w:rsidR="00222879" w:rsidRPr="00395CF0">
        <w:rPr>
          <w:rFonts w:ascii="Calibri" w:hAnsi="Calibri" w:cs="Calibri"/>
          <w:lang w:val="en-GB"/>
        </w:rPr>
        <w:t>How is COVID-19 impacting women and men’s working lives in the UK? Expanding an existing award (on the work of working-class women in the UK) to explore all workers</w:t>
      </w:r>
      <w:r w:rsidR="00584D80">
        <w:rPr>
          <w:rFonts w:ascii="Calibri" w:hAnsi="Calibri" w:cs="Calibri"/>
          <w:lang w:val="en-GB"/>
        </w:rPr>
        <w:t>’</w:t>
      </w:r>
      <w:r w:rsidRPr="00395CF0">
        <w:rPr>
          <w:rFonts w:ascii="Calibri" w:hAnsi="Calibri" w:cs="Calibri"/>
          <w:lang w:val="en-GB"/>
        </w:rPr>
        <w:t xml:space="preserve"> </w:t>
      </w:r>
      <w:r w:rsidR="00F43B27" w:rsidRPr="00395CF0">
        <w:rPr>
          <w:rFonts w:ascii="Calibri" w:hAnsi="Calibri" w:cs="Calibri"/>
          <w:lang w:val="en-GB"/>
        </w:rPr>
        <w:t xml:space="preserve">is part of the Data and Connectivity National Core Study, led by Health Data Research UK in partnership with the Office for National Statistics and funded by UK Research and Innovation </w:t>
      </w:r>
      <w:r w:rsidR="00832A6D" w:rsidRPr="00395CF0">
        <w:rPr>
          <w:rFonts w:ascii="Calibri" w:hAnsi="Calibri" w:cs="Calibri"/>
          <w:lang w:val="en-GB"/>
        </w:rPr>
        <w:t>(project ref HDRUK2020.137)</w:t>
      </w:r>
      <w:r w:rsidRPr="00395CF0">
        <w:rPr>
          <w:rFonts w:ascii="Calibri" w:hAnsi="Calibri" w:cs="Calibri"/>
          <w:lang w:val="en-GB"/>
        </w:rPr>
        <w:t>.</w:t>
      </w:r>
    </w:p>
    <w:p w14:paraId="463BBDE0" w14:textId="6389DFD3" w:rsidR="00071BF1" w:rsidRPr="00395CF0" w:rsidRDefault="00071BF1" w:rsidP="00CD7CBB">
      <w:pPr>
        <w:pStyle w:val="ListParagraph"/>
        <w:numPr>
          <w:ilvl w:val="0"/>
          <w:numId w:val="4"/>
        </w:numPr>
        <w:jc w:val="both"/>
        <w:rPr>
          <w:rFonts w:ascii="Calibri" w:hAnsi="Calibri" w:cs="Calibri"/>
          <w:lang w:val="en-GB"/>
        </w:rPr>
      </w:pPr>
      <w:r w:rsidRPr="00395CF0">
        <w:rPr>
          <w:rFonts w:ascii="Calibri" w:hAnsi="Calibri" w:cs="Calibri"/>
          <w:lang w:val="en-GB"/>
        </w:rPr>
        <w:t>The research data are distributed by the UK Data Service</w:t>
      </w:r>
      <w:r w:rsidR="00CD7CBB" w:rsidRPr="00395CF0">
        <w:rPr>
          <w:rFonts w:ascii="Calibri" w:hAnsi="Calibri" w:cs="Calibri"/>
          <w:lang w:val="en-GB"/>
        </w:rPr>
        <w:t xml:space="preserve"> (safeguarded data version)</w:t>
      </w:r>
      <w:r w:rsidRPr="00395CF0">
        <w:rPr>
          <w:rFonts w:ascii="Calibri" w:hAnsi="Calibri" w:cs="Calibri"/>
          <w:lang w:val="en-GB"/>
        </w:rPr>
        <w:t xml:space="preserve">. The original data creators, the depositors, the copyright holders, the </w:t>
      </w:r>
      <w:proofErr w:type="gramStart"/>
      <w:r w:rsidRPr="00395CF0">
        <w:rPr>
          <w:rFonts w:ascii="Calibri" w:hAnsi="Calibri" w:cs="Calibri"/>
          <w:lang w:val="en-GB"/>
        </w:rPr>
        <w:t>funders</w:t>
      </w:r>
      <w:proofErr w:type="gramEnd"/>
      <w:r w:rsidRPr="00395CF0">
        <w:rPr>
          <w:rFonts w:ascii="Calibri" w:hAnsi="Calibri" w:cs="Calibri"/>
          <w:lang w:val="en-GB"/>
        </w:rPr>
        <w:t xml:space="preserve"> and the UK Data Archive bear no responsibility for the analysis or interpretation of the data made in this paper.</w:t>
      </w:r>
    </w:p>
    <w:p w14:paraId="45B717F3" w14:textId="608A1153" w:rsidR="007210F5" w:rsidRPr="00395CF0" w:rsidRDefault="00071BF1" w:rsidP="007210F5">
      <w:pPr>
        <w:pStyle w:val="ListParagraph"/>
        <w:numPr>
          <w:ilvl w:val="0"/>
          <w:numId w:val="4"/>
        </w:numPr>
        <w:jc w:val="both"/>
        <w:rPr>
          <w:rFonts w:ascii="Calibri" w:hAnsi="Calibri" w:cs="Calibri"/>
          <w:lang w:val="en-GB"/>
        </w:rPr>
      </w:pPr>
      <w:r w:rsidRPr="00395CF0">
        <w:rPr>
          <w:rFonts w:ascii="Calibri" w:hAnsi="Calibri" w:cs="Calibri"/>
          <w:lang w:val="en-GB"/>
        </w:rPr>
        <w:t xml:space="preserve">We are grateful to </w:t>
      </w:r>
      <w:r w:rsidR="004C1D64" w:rsidRPr="00395CF0">
        <w:rPr>
          <w:rFonts w:ascii="Calibri" w:hAnsi="Calibri" w:cs="Calibri"/>
          <w:lang w:val="en-GB"/>
        </w:rPr>
        <w:t>Professor Clare Lyonette</w:t>
      </w:r>
      <w:r w:rsidR="007210F5" w:rsidRPr="00395CF0">
        <w:rPr>
          <w:rFonts w:ascii="Calibri" w:hAnsi="Calibri" w:cs="Calibri"/>
          <w:lang w:val="en-GB"/>
        </w:rPr>
        <w:t xml:space="preserve"> from the</w:t>
      </w:r>
      <w:r w:rsidR="004C1D64" w:rsidRPr="00395CF0">
        <w:rPr>
          <w:rFonts w:ascii="Calibri" w:hAnsi="Calibri" w:cs="Calibri"/>
          <w:lang w:val="en-GB"/>
        </w:rPr>
        <w:t xml:space="preserve"> </w:t>
      </w:r>
      <w:r w:rsidR="007210F5" w:rsidRPr="00395CF0">
        <w:rPr>
          <w:rFonts w:ascii="Calibri" w:hAnsi="Calibri" w:cs="Calibri"/>
          <w:lang w:val="en-GB"/>
        </w:rPr>
        <w:t>Institute for Employment Research</w:t>
      </w:r>
    </w:p>
    <w:p w14:paraId="7CF00F44" w14:textId="50B8FDD7" w:rsidR="00071BF1" w:rsidRPr="00395CF0" w:rsidRDefault="007210F5" w:rsidP="00395CF0">
      <w:pPr>
        <w:pStyle w:val="ListParagraph"/>
        <w:jc w:val="both"/>
        <w:rPr>
          <w:rFonts w:ascii="Calibri" w:hAnsi="Calibri" w:cs="Calibri"/>
          <w:lang w:val="en-GB"/>
        </w:rPr>
      </w:pPr>
      <w:r w:rsidRPr="00395CF0">
        <w:rPr>
          <w:rFonts w:ascii="Calibri" w:hAnsi="Calibri" w:cs="Calibri"/>
          <w:lang w:val="en-GB"/>
        </w:rPr>
        <w:t>University of Warwick</w:t>
      </w:r>
      <w:r w:rsidR="00584D80">
        <w:rPr>
          <w:rFonts w:ascii="Calibri" w:hAnsi="Calibri" w:cs="Calibri"/>
          <w:lang w:val="en-GB"/>
        </w:rPr>
        <w:t xml:space="preserve"> feedback and</w:t>
      </w:r>
      <w:r w:rsidRPr="00395CF0">
        <w:rPr>
          <w:rFonts w:ascii="Calibri" w:hAnsi="Calibri" w:cs="Calibri"/>
          <w:lang w:val="en-GB"/>
        </w:rPr>
        <w:t xml:space="preserve"> </w:t>
      </w:r>
      <w:r w:rsidR="00071BF1" w:rsidRPr="00395CF0">
        <w:rPr>
          <w:rFonts w:ascii="Calibri" w:hAnsi="Calibri" w:cs="Calibri"/>
          <w:lang w:val="en-GB"/>
        </w:rPr>
        <w:t xml:space="preserve">Dr Mary-Ann Stephenson and Dr Sara Reis from the UK Women’s Budget Group for their collaboration on the project. </w:t>
      </w:r>
    </w:p>
    <w:p w14:paraId="6722BA46" w14:textId="77777777" w:rsidR="00071BF1" w:rsidRPr="00395CF0" w:rsidRDefault="00071BF1" w:rsidP="00FB169B">
      <w:pPr>
        <w:pStyle w:val="Heading1"/>
        <w:rPr>
          <w:rFonts w:ascii="Calibri" w:hAnsi="Calibri" w:cs="Calibri"/>
          <w:lang w:val="en-GB"/>
        </w:rPr>
      </w:pPr>
      <w:bookmarkStart w:id="22" w:name="_Toc72997404"/>
      <w:r w:rsidRPr="00395CF0">
        <w:rPr>
          <w:rFonts w:ascii="Calibri" w:hAnsi="Calibri" w:cs="Calibri"/>
          <w:lang w:val="en-GB"/>
        </w:rPr>
        <w:t>Citation</w:t>
      </w:r>
      <w:bookmarkEnd w:id="22"/>
    </w:p>
    <w:p w14:paraId="26809136" w14:textId="77777777" w:rsidR="00BE0BFB" w:rsidRPr="00395CF0" w:rsidRDefault="00BE0BFB" w:rsidP="00026F02">
      <w:pPr>
        <w:rPr>
          <w:rFonts w:ascii="Calibri" w:hAnsi="Calibri" w:cs="Calibri"/>
        </w:rPr>
      </w:pPr>
    </w:p>
    <w:p w14:paraId="4937F1FA" w14:textId="60F8B4C7" w:rsidR="00071BF1" w:rsidRPr="00395CF0" w:rsidRDefault="00BE0BFB" w:rsidP="000A5EF2">
      <w:pPr>
        <w:jc w:val="both"/>
        <w:rPr>
          <w:rFonts w:ascii="Calibri" w:hAnsi="Calibri" w:cs="Calibri"/>
        </w:rPr>
      </w:pPr>
      <w:r w:rsidRPr="00395CF0">
        <w:rPr>
          <w:rFonts w:ascii="Calibri" w:hAnsi="Calibri" w:cs="Calibri"/>
        </w:rPr>
        <w:t xml:space="preserve">Torres L, Warren </w:t>
      </w:r>
      <w:proofErr w:type="gramStart"/>
      <w:r w:rsidRPr="00395CF0">
        <w:rPr>
          <w:rFonts w:ascii="Calibri" w:hAnsi="Calibri" w:cs="Calibri"/>
        </w:rPr>
        <w:t xml:space="preserve">T, </w:t>
      </w:r>
      <w:r w:rsidR="0099315D" w:rsidRPr="00395CF0">
        <w:rPr>
          <w:rFonts w:ascii="Calibri" w:hAnsi="Calibri" w:cs="Calibri"/>
        </w:rPr>
        <w:t xml:space="preserve"> </w:t>
      </w:r>
      <w:proofErr w:type="spellStart"/>
      <w:r w:rsidR="0099315D" w:rsidRPr="00395CF0">
        <w:rPr>
          <w:rFonts w:ascii="Calibri" w:hAnsi="Calibri" w:cs="Calibri"/>
        </w:rPr>
        <w:t>Veeken</w:t>
      </w:r>
      <w:proofErr w:type="spellEnd"/>
      <w:proofErr w:type="gramEnd"/>
      <w:r w:rsidR="0099315D" w:rsidRPr="00395CF0">
        <w:rPr>
          <w:rFonts w:ascii="Calibri" w:hAnsi="Calibri" w:cs="Calibri"/>
        </w:rPr>
        <w:t xml:space="preserve"> </w:t>
      </w:r>
      <w:r w:rsidR="00584D80">
        <w:rPr>
          <w:rFonts w:ascii="Calibri" w:hAnsi="Calibri" w:cs="Calibri"/>
        </w:rPr>
        <w:t xml:space="preserve">A </w:t>
      </w:r>
      <w:r w:rsidR="00E64D84">
        <w:rPr>
          <w:rFonts w:ascii="Calibri" w:hAnsi="Calibri" w:cs="Calibri"/>
        </w:rPr>
        <w:t>and the UK Women’s Budget Group</w:t>
      </w:r>
      <w:r w:rsidR="0099315D" w:rsidRPr="00395CF0">
        <w:rPr>
          <w:rFonts w:ascii="Calibri" w:hAnsi="Calibri" w:cs="Calibri"/>
        </w:rPr>
        <w:t xml:space="preserve"> </w:t>
      </w:r>
      <w:r w:rsidR="00071BF1" w:rsidRPr="00395CF0">
        <w:rPr>
          <w:rFonts w:ascii="Calibri" w:hAnsi="Calibri" w:cs="Calibri"/>
        </w:rPr>
        <w:t xml:space="preserve">(2021) </w:t>
      </w:r>
      <w:r w:rsidR="001E71EA" w:rsidRPr="00395CF0">
        <w:rPr>
          <w:rFonts w:ascii="Calibri" w:hAnsi="Calibri" w:cs="Calibri"/>
        </w:rPr>
        <w:t>Unemployment</w:t>
      </w:r>
      <w:r w:rsidR="00BD4DB4" w:rsidRPr="00395CF0">
        <w:rPr>
          <w:rFonts w:ascii="Calibri" w:hAnsi="Calibri" w:cs="Calibri"/>
        </w:rPr>
        <w:t xml:space="preserve"> and job loss </w:t>
      </w:r>
      <w:r w:rsidR="001E71EA" w:rsidRPr="00395CF0">
        <w:rPr>
          <w:rFonts w:ascii="Calibri" w:hAnsi="Calibri" w:cs="Calibri"/>
        </w:rPr>
        <w:t>in the COVID-19 UK: Exploring gender, ethnicity, and class</w:t>
      </w:r>
      <w:r w:rsidR="00071BF1" w:rsidRPr="00395CF0">
        <w:rPr>
          <w:rFonts w:ascii="Calibri" w:hAnsi="Calibri" w:cs="Calibri"/>
        </w:rPr>
        <w:t xml:space="preserve">. </w:t>
      </w:r>
      <w:r w:rsidR="001E71EA" w:rsidRPr="00395CF0">
        <w:rPr>
          <w:rFonts w:ascii="Calibri" w:hAnsi="Calibri" w:cs="Calibri"/>
        </w:rPr>
        <w:t>Research Summary 1</w:t>
      </w:r>
      <w:r w:rsidR="00071BF1" w:rsidRPr="00395CF0">
        <w:rPr>
          <w:rFonts w:ascii="Calibri" w:hAnsi="Calibri" w:cs="Calibri"/>
        </w:rPr>
        <w:t>, Nottingham: Nottingham University Business School.</w:t>
      </w:r>
    </w:p>
    <w:sectPr w:rsidR="00071BF1" w:rsidRPr="00395C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A4001" w14:textId="77777777" w:rsidR="00DC1C4D" w:rsidRDefault="005F0458">
      <w:r>
        <w:separator/>
      </w:r>
    </w:p>
  </w:endnote>
  <w:endnote w:type="continuationSeparator" w:id="0">
    <w:p w14:paraId="3A0A4003" w14:textId="77777777" w:rsidR="00DC1C4D" w:rsidRDefault="005F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105659"/>
      <w:docPartObj>
        <w:docPartGallery w:val="Page Numbers (Bottom of Page)"/>
        <w:docPartUnique/>
      </w:docPartObj>
    </w:sdtPr>
    <w:sdtEndPr>
      <w:rPr>
        <w:noProof/>
        <w:sz w:val="20"/>
        <w:szCs w:val="20"/>
      </w:rPr>
    </w:sdtEndPr>
    <w:sdtContent>
      <w:p w14:paraId="75F56589" w14:textId="19877872" w:rsidR="003276B0" w:rsidRPr="003276B0" w:rsidRDefault="00584D80">
        <w:pPr>
          <w:pStyle w:val="Footer"/>
          <w:jc w:val="right"/>
          <w:rPr>
            <w:sz w:val="20"/>
            <w:szCs w:val="20"/>
          </w:rPr>
        </w:pPr>
      </w:p>
    </w:sdtContent>
  </w:sdt>
  <w:p w14:paraId="43491ECC" w14:textId="77777777" w:rsidR="003276B0" w:rsidRDefault="00327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283209"/>
      <w:docPartObj>
        <w:docPartGallery w:val="Page Numbers (Bottom of Page)"/>
        <w:docPartUnique/>
      </w:docPartObj>
    </w:sdtPr>
    <w:sdtEndPr>
      <w:rPr>
        <w:noProof/>
        <w:sz w:val="20"/>
        <w:szCs w:val="20"/>
      </w:rPr>
    </w:sdtEndPr>
    <w:sdtContent>
      <w:p w14:paraId="5FC98702" w14:textId="77777777" w:rsidR="003276B0" w:rsidRPr="003276B0" w:rsidRDefault="003276B0">
        <w:pPr>
          <w:pStyle w:val="Footer"/>
          <w:jc w:val="right"/>
          <w:rPr>
            <w:sz w:val="20"/>
            <w:szCs w:val="20"/>
          </w:rPr>
        </w:pPr>
        <w:r w:rsidRPr="003276B0">
          <w:rPr>
            <w:sz w:val="20"/>
            <w:szCs w:val="20"/>
          </w:rPr>
          <w:fldChar w:fldCharType="begin"/>
        </w:r>
        <w:r w:rsidRPr="003276B0">
          <w:rPr>
            <w:sz w:val="20"/>
            <w:szCs w:val="20"/>
          </w:rPr>
          <w:instrText xml:space="preserve"> PAGE   \* MERGEFORMAT </w:instrText>
        </w:r>
        <w:r w:rsidRPr="003276B0">
          <w:rPr>
            <w:sz w:val="20"/>
            <w:szCs w:val="20"/>
          </w:rPr>
          <w:fldChar w:fldCharType="separate"/>
        </w:r>
        <w:r w:rsidRPr="003276B0">
          <w:rPr>
            <w:noProof/>
            <w:sz w:val="20"/>
            <w:szCs w:val="20"/>
          </w:rPr>
          <w:t>2</w:t>
        </w:r>
        <w:r w:rsidRPr="003276B0">
          <w:rPr>
            <w:noProof/>
            <w:sz w:val="20"/>
            <w:szCs w:val="20"/>
          </w:rPr>
          <w:fldChar w:fldCharType="end"/>
        </w:r>
      </w:p>
    </w:sdtContent>
  </w:sdt>
  <w:p w14:paraId="514D3217" w14:textId="77777777" w:rsidR="003276B0" w:rsidRDefault="0032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A3FFD" w14:textId="77777777" w:rsidR="00666639" w:rsidRDefault="005F0458">
      <w:r>
        <w:separator/>
      </w:r>
    </w:p>
  </w:footnote>
  <w:footnote w:type="continuationSeparator" w:id="0">
    <w:p w14:paraId="3A0A3FFE" w14:textId="77777777" w:rsidR="00666639" w:rsidRDefault="005F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ED8E2" w14:textId="29F9F007" w:rsidR="00B01CD7" w:rsidRDefault="00B01CD7" w:rsidP="00B01CD7">
    <w:pPr>
      <w:pStyle w:val="Header"/>
      <w:jc w:val="right"/>
    </w:pPr>
    <w:r>
      <w:rPr>
        <w:b/>
        <w:bCs/>
        <w:noProof/>
      </w:rPr>
      <w:drawing>
        <wp:inline distT="0" distB="0" distL="0" distR="0" wp14:anchorId="16560E61" wp14:editId="2C113BEB">
          <wp:extent cx="1316567" cy="401159"/>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308" cy="412659"/>
                  </a:xfrm>
                  <a:prstGeom prst="rect">
                    <a:avLst/>
                  </a:prstGeom>
                </pic:spPr>
              </pic:pic>
            </a:graphicData>
          </a:graphic>
        </wp:inline>
      </w:drawing>
    </w:r>
  </w:p>
  <w:p w14:paraId="7479FBB4" w14:textId="77777777" w:rsidR="00720BC9" w:rsidRDefault="00720BC9" w:rsidP="00B01CD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971"/>
    <w:multiLevelType w:val="hybridMultilevel"/>
    <w:tmpl w:val="2F0423E4"/>
    <w:lvl w:ilvl="0" w:tplc="64E4E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8078FD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4E94190"/>
    <w:multiLevelType w:val="hybridMultilevel"/>
    <w:tmpl w:val="E7DEBDC6"/>
    <w:lvl w:ilvl="0" w:tplc="64E4E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947B05"/>
    <w:multiLevelType w:val="hybridMultilevel"/>
    <w:tmpl w:val="A6B02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795E8B"/>
    <w:multiLevelType w:val="hybridMultilevel"/>
    <w:tmpl w:val="8722C5F4"/>
    <w:lvl w:ilvl="0" w:tplc="64E4E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F67F8"/>
    <w:multiLevelType w:val="hybridMultilevel"/>
    <w:tmpl w:val="AD3A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F02"/>
    <w:rsid w:val="000554E1"/>
    <w:rsid w:val="00071BF1"/>
    <w:rsid w:val="000A5EF2"/>
    <w:rsid w:val="00104907"/>
    <w:rsid w:val="0011167F"/>
    <w:rsid w:val="00136E10"/>
    <w:rsid w:val="001551E8"/>
    <w:rsid w:val="001E71EA"/>
    <w:rsid w:val="001F5E90"/>
    <w:rsid w:val="00201CEA"/>
    <w:rsid w:val="00215ACF"/>
    <w:rsid w:val="00222879"/>
    <w:rsid w:val="002341F0"/>
    <w:rsid w:val="002A624A"/>
    <w:rsid w:val="002E3138"/>
    <w:rsid w:val="003040F7"/>
    <w:rsid w:val="003276B0"/>
    <w:rsid w:val="00395CF0"/>
    <w:rsid w:val="003E1661"/>
    <w:rsid w:val="00405650"/>
    <w:rsid w:val="00440959"/>
    <w:rsid w:val="004C1D64"/>
    <w:rsid w:val="004E29B3"/>
    <w:rsid w:val="004F740B"/>
    <w:rsid w:val="0050205F"/>
    <w:rsid w:val="00584557"/>
    <w:rsid w:val="00584D80"/>
    <w:rsid w:val="00590D07"/>
    <w:rsid w:val="005F0458"/>
    <w:rsid w:val="005F29AD"/>
    <w:rsid w:val="00601133"/>
    <w:rsid w:val="00662863"/>
    <w:rsid w:val="006642C5"/>
    <w:rsid w:val="00666639"/>
    <w:rsid w:val="0068050A"/>
    <w:rsid w:val="007108C7"/>
    <w:rsid w:val="00720BC9"/>
    <w:rsid w:val="007210F5"/>
    <w:rsid w:val="0074597E"/>
    <w:rsid w:val="00770ABC"/>
    <w:rsid w:val="00784D58"/>
    <w:rsid w:val="007C568D"/>
    <w:rsid w:val="007D0336"/>
    <w:rsid w:val="007D26AB"/>
    <w:rsid w:val="00832A6D"/>
    <w:rsid w:val="0083377E"/>
    <w:rsid w:val="008D6863"/>
    <w:rsid w:val="008F77B8"/>
    <w:rsid w:val="00952ED2"/>
    <w:rsid w:val="0099315D"/>
    <w:rsid w:val="00993788"/>
    <w:rsid w:val="00A26C45"/>
    <w:rsid w:val="00A33E9F"/>
    <w:rsid w:val="00A441EE"/>
    <w:rsid w:val="00A50988"/>
    <w:rsid w:val="00A5215B"/>
    <w:rsid w:val="00A54BFC"/>
    <w:rsid w:val="00A96BC6"/>
    <w:rsid w:val="00AD72E7"/>
    <w:rsid w:val="00B01CD7"/>
    <w:rsid w:val="00B4221D"/>
    <w:rsid w:val="00B7105A"/>
    <w:rsid w:val="00B86B75"/>
    <w:rsid w:val="00BC48D5"/>
    <w:rsid w:val="00BD4DB4"/>
    <w:rsid w:val="00BE0BFB"/>
    <w:rsid w:val="00BE4716"/>
    <w:rsid w:val="00C36279"/>
    <w:rsid w:val="00C64A53"/>
    <w:rsid w:val="00C82F5F"/>
    <w:rsid w:val="00CA1F75"/>
    <w:rsid w:val="00CD3656"/>
    <w:rsid w:val="00CD7CBB"/>
    <w:rsid w:val="00CF37E3"/>
    <w:rsid w:val="00D32640"/>
    <w:rsid w:val="00D34E5A"/>
    <w:rsid w:val="00D736D8"/>
    <w:rsid w:val="00D95D8D"/>
    <w:rsid w:val="00DA6FDB"/>
    <w:rsid w:val="00DC1C4D"/>
    <w:rsid w:val="00E16C85"/>
    <w:rsid w:val="00E315A3"/>
    <w:rsid w:val="00E577E2"/>
    <w:rsid w:val="00E64D84"/>
    <w:rsid w:val="00E70EC8"/>
    <w:rsid w:val="00ED14D4"/>
    <w:rsid w:val="00F00599"/>
    <w:rsid w:val="00F26733"/>
    <w:rsid w:val="00F43B27"/>
    <w:rsid w:val="00F531D6"/>
    <w:rsid w:val="00FB169B"/>
    <w:rsid w:val="00FB3F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3F60"/>
  <w15:docId w15:val="{38B07458-A651-4F5F-93BC-84D3DFA2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2ED2"/>
    <w:pPr>
      <w:spacing w:after="0"/>
    </w:pPr>
    <w:rPr>
      <w:rFonts w:ascii="Times New Roman" w:eastAsia="Times New Roman" w:hAnsi="Times New Roman" w:cs="Times New Roman"/>
      <w:lang w:val="en-GB" w:eastAsia="en-GB"/>
    </w:rPr>
  </w:style>
  <w:style w:type="paragraph" w:styleId="Heading1">
    <w:name w:val="heading 1"/>
    <w:basedOn w:val="Normal"/>
    <w:next w:val="BodyText"/>
    <w:uiPriority w:val="9"/>
    <w:qFormat/>
    <w:rsid w:val="00A31B40"/>
    <w:pPr>
      <w:keepNext/>
      <w:keepLines/>
      <w:pBdr>
        <w:bottom w:val="single" w:sz="12" w:space="1" w:color="auto"/>
      </w:pBdr>
      <w:spacing w:before="480"/>
      <w:outlineLvl w:val="0"/>
    </w:pPr>
    <w:rPr>
      <w:rFonts w:ascii="Open Sans" w:eastAsiaTheme="majorEastAsia" w:hAnsi="Open Sans" w:cstheme="majorBidi"/>
      <w:b/>
      <w:bCs/>
      <w:color w:val="006095"/>
      <w:sz w:val="28"/>
      <w:szCs w:val="32"/>
      <w:lang w:val="en-US" w:eastAsia="en-US"/>
    </w:rPr>
  </w:style>
  <w:style w:type="paragraph" w:styleId="Heading2">
    <w:name w:val="heading 2"/>
    <w:basedOn w:val="Normal"/>
    <w:next w:val="BodyText"/>
    <w:uiPriority w:val="9"/>
    <w:unhideWhenUsed/>
    <w:qFormat/>
    <w:rsid w:val="00A31B40"/>
    <w:pPr>
      <w:keepNext/>
      <w:keepLines/>
      <w:spacing w:before="200"/>
      <w:outlineLvl w:val="1"/>
    </w:pPr>
    <w:rPr>
      <w:rFonts w:ascii="Open Sans" w:eastAsiaTheme="majorEastAsia" w:hAnsi="Open Sans" w:cstheme="majorBidi"/>
      <w:b/>
      <w:bCs/>
      <w:color w:val="006295"/>
      <w:szCs w:val="28"/>
      <w:lang w:val="en-US" w:eastAsia="en-US"/>
    </w:rPr>
  </w:style>
  <w:style w:type="paragraph" w:styleId="Heading3">
    <w:name w:val="heading 3"/>
    <w:basedOn w:val="Normal"/>
    <w:next w:val="BodyText"/>
    <w:uiPriority w:val="9"/>
    <w:unhideWhenUsed/>
    <w:qFormat/>
    <w:rsid w:val="00A31B40"/>
    <w:pPr>
      <w:keepNext/>
      <w:keepLines/>
      <w:spacing w:before="200"/>
      <w:outlineLvl w:val="2"/>
    </w:pPr>
    <w:rPr>
      <w:rFonts w:ascii="Open Sans" w:eastAsiaTheme="majorEastAsia" w:hAnsi="Open Sans" w:cstheme="majorBidi"/>
      <w:b/>
      <w:bCs/>
      <w:color w:val="006295"/>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31B40"/>
    <w:pPr>
      <w:spacing w:before="180" w:after="180"/>
    </w:pPr>
    <w:rPr>
      <w:rFonts w:ascii="Open Sans" w:eastAsiaTheme="minorHAnsi" w:hAnsi="Open Sans" w:cstheme="minorBidi"/>
      <w:color w:val="292929"/>
      <w:lang w:val="en-US" w:eastAsia="en-US"/>
    </w:rPr>
  </w:style>
  <w:style w:type="paragraph" w:customStyle="1" w:styleId="FirstParagraph">
    <w:name w:val="First Paragraph"/>
    <w:basedOn w:val="BodyText"/>
    <w:next w:val="BodyText"/>
    <w:qFormat/>
    <w:rsid w:val="00A31B40"/>
  </w:style>
  <w:style w:type="paragraph" w:customStyle="1" w:styleId="Compact">
    <w:name w:val="Compact"/>
    <w:basedOn w:val="BodyText"/>
    <w:qFormat/>
    <w:pPr>
      <w:spacing w:before="36" w:after="36"/>
    </w:pPr>
  </w:style>
  <w:style w:type="paragraph" w:styleId="Title">
    <w:name w:val="Title"/>
    <w:basedOn w:val="Normal"/>
    <w:next w:val="BodyText"/>
    <w:qFormat/>
    <w:rsid w:val="00A31B40"/>
    <w:pPr>
      <w:keepNext/>
      <w:keepLines/>
      <w:spacing w:before="480" w:after="240"/>
    </w:pPr>
    <w:rPr>
      <w:rFonts w:ascii="Open Sans" w:eastAsiaTheme="majorEastAsia" w:hAnsi="Open Sans" w:cstheme="majorBidi"/>
      <w:b/>
      <w:bCs/>
      <w:color w:val="791F83"/>
      <w:sz w:val="36"/>
      <w:szCs w:val="36"/>
      <w:lang w:val="en-US" w:eastAsia="en-US"/>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A31B40"/>
    <w:pPr>
      <w:keepNext/>
      <w:keepLines/>
      <w:jc w:val="center"/>
    </w:pPr>
    <w:rPr>
      <w:rFonts w:ascii="Open Sans" w:hAnsi="Open Sans"/>
      <w:color w:val="292929"/>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0">
    <w:name w:val="table"/>
    <w:basedOn w:val="BodyText"/>
    <w:qFormat/>
  </w:style>
  <w:style w:type="paragraph" w:styleId="TOC1">
    <w:name w:val="toc 1"/>
    <w:basedOn w:val="Normal"/>
    <w:next w:val="Normal"/>
    <w:autoRedefine/>
    <w:uiPriority w:val="39"/>
    <w:unhideWhenUsed/>
    <w:rsid w:val="00CD3656"/>
    <w:pPr>
      <w:spacing w:after="100"/>
    </w:pPr>
    <w:rPr>
      <w:rFonts w:asciiTheme="minorHAnsi" w:eastAsiaTheme="minorHAnsi" w:hAnsiTheme="minorHAnsi" w:cstheme="minorBidi"/>
      <w:lang w:val="en-US" w:eastAsia="en-US"/>
    </w:rPr>
  </w:style>
  <w:style w:type="paragraph" w:styleId="TOC2">
    <w:name w:val="toc 2"/>
    <w:basedOn w:val="Normal"/>
    <w:next w:val="Normal"/>
    <w:autoRedefine/>
    <w:uiPriority w:val="39"/>
    <w:unhideWhenUsed/>
    <w:rsid w:val="00CD3656"/>
    <w:pPr>
      <w:spacing w:after="100"/>
      <w:ind w:left="240"/>
    </w:pPr>
    <w:rPr>
      <w:rFonts w:asciiTheme="minorHAnsi" w:eastAsiaTheme="minorHAnsi" w:hAnsiTheme="minorHAnsi" w:cstheme="minorBidi"/>
      <w:lang w:val="en-US" w:eastAsia="en-US"/>
    </w:rPr>
  </w:style>
  <w:style w:type="paragraph" w:styleId="Header">
    <w:name w:val="header"/>
    <w:basedOn w:val="Normal"/>
    <w:link w:val="HeaderChar"/>
    <w:unhideWhenUsed/>
    <w:rsid w:val="00136E10"/>
    <w:pPr>
      <w:tabs>
        <w:tab w:val="center" w:pos="4513"/>
        <w:tab w:val="right" w:pos="9026"/>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rsid w:val="00136E10"/>
  </w:style>
  <w:style w:type="paragraph" w:styleId="Footer">
    <w:name w:val="footer"/>
    <w:basedOn w:val="Normal"/>
    <w:link w:val="FooterChar"/>
    <w:uiPriority w:val="99"/>
    <w:unhideWhenUsed/>
    <w:rsid w:val="00136E10"/>
    <w:pPr>
      <w:tabs>
        <w:tab w:val="center" w:pos="4513"/>
        <w:tab w:val="right" w:pos="9026"/>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136E10"/>
  </w:style>
  <w:style w:type="table" w:styleId="TableGrid">
    <w:name w:val="Table Grid"/>
    <w:basedOn w:val="TableNormal"/>
    <w:rsid w:val="00136E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F0458"/>
    <w:rPr>
      <w:rFonts w:ascii="Open Sans" w:hAnsi="Open Sans"/>
      <w:color w:val="292929"/>
    </w:rPr>
  </w:style>
  <w:style w:type="character" w:styleId="CommentReference">
    <w:name w:val="annotation reference"/>
    <w:basedOn w:val="DefaultParagraphFont"/>
    <w:semiHidden/>
    <w:unhideWhenUsed/>
    <w:rsid w:val="0050205F"/>
    <w:rPr>
      <w:sz w:val="16"/>
      <w:szCs w:val="16"/>
    </w:rPr>
  </w:style>
  <w:style w:type="paragraph" w:styleId="CommentText">
    <w:name w:val="annotation text"/>
    <w:basedOn w:val="Normal"/>
    <w:link w:val="CommentTextChar"/>
    <w:semiHidden/>
    <w:unhideWhenUsed/>
    <w:rsid w:val="0050205F"/>
    <w:rPr>
      <w:sz w:val="20"/>
      <w:szCs w:val="20"/>
    </w:rPr>
  </w:style>
  <w:style w:type="character" w:customStyle="1" w:styleId="CommentTextChar">
    <w:name w:val="Comment Text Char"/>
    <w:basedOn w:val="DefaultParagraphFont"/>
    <w:link w:val="CommentText"/>
    <w:semiHidden/>
    <w:rsid w:val="0050205F"/>
    <w:rPr>
      <w:sz w:val="20"/>
      <w:szCs w:val="20"/>
    </w:rPr>
  </w:style>
  <w:style w:type="paragraph" w:styleId="CommentSubject">
    <w:name w:val="annotation subject"/>
    <w:basedOn w:val="CommentText"/>
    <w:next w:val="CommentText"/>
    <w:link w:val="CommentSubjectChar"/>
    <w:semiHidden/>
    <w:unhideWhenUsed/>
    <w:rsid w:val="0050205F"/>
    <w:rPr>
      <w:b/>
      <w:bCs/>
    </w:rPr>
  </w:style>
  <w:style w:type="character" w:customStyle="1" w:styleId="CommentSubjectChar">
    <w:name w:val="Comment Subject Char"/>
    <w:basedOn w:val="CommentTextChar"/>
    <w:link w:val="CommentSubject"/>
    <w:semiHidden/>
    <w:rsid w:val="0050205F"/>
    <w:rPr>
      <w:b/>
      <w:bCs/>
      <w:sz w:val="20"/>
      <w:szCs w:val="20"/>
    </w:rPr>
  </w:style>
  <w:style w:type="paragraph" w:styleId="ListParagraph">
    <w:name w:val="List Paragraph"/>
    <w:basedOn w:val="Normal"/>
    <w:rsid w:val="00FB169B"/>
    <w:pPr>
      <w:spacing w:after="200"/>
      <w:ind w:left="720"/>
      <w:contextualSpacing/>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FB169B"/>
    <w:rPr>
      <w:color w:val="605E5C"/>
      <w:shd w:val="clear" w:color="auto" w:fill="E1DFDD"/>
    </w:rPr>
  </w:style>
  <w:style w:type="character" w:styleId="FollowedHyperlink">
    <w:name w:val="FollowedHyperlink"/>
    <w:basedOn w:val="DefaultParagraphFont"/>
    <w:rsid w:val="007108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402907">
      <w:bodyDiv w:val="1"/>
      <w:marLeft w:val="0"/>
      <w:marRight w:val="0"/>
      <w:marTop w:val="0"/>
      <w:marBottom w:val="0"/>
      <w:divBdr>
        <w:top w:val="none" w:sz="0" w:space="0" w:color="auto"/>
        <w:left w:val="none" w:sz="0" w:space="0" w:color="auto"/>
        <w:bottom w:val="none" w:sz="0" w:space="0" w:color="auto"/>
        <w:right w:val="none" w:sz="0" w:space="0" w:color="auto"/>
      </w:divBdr>
    </w:div>
    <w:div w:id="1636761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yperlink" Target="https://www.nottingham.ac.uk/business/research/carrying-the-work-burden-of-covid-19/index.asp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mailto:annegreet.veeken@nottingham.ac.u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mailto:tracey.warren@nottingham.ac.u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ottingham.ac.uk/business/research/carrying-the-work-burden-of-covid-1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ottingham.ac.uk/business/who-we-are/case-studies/featured-research-case-studies/covid-19-working-women/index.aspx" TargetMode="External"/><Relationship Id="rId22" Type="http://schemas.openxmlformats.org/officeDocument/2006/relationships/footer" Target="foot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B6329-E61B-45FA-8F59-847498EF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How is COVID-19 impacting women and men’s working lives in the UK?</vt:lpstr>
    </vt:vector>
  </TitlesOfParts>
  <Company>University of Nottingham</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COVID-19 impacting women and men’s working lives in the UK?</dc:title>
  <dc:creator>By Luis D. Torres, Tracey Warren, and Annegreet Veeken, University of Nottingham</dc:creator>
  <cp:keywords/>
  <cp:lastModifiedBy>Tracey</cp:lastModifiedBy>
  <cp:revision>3</cp:revision>
  <dcterms:created xsi:type="dcterms:W3CDTF">2021-05-27T10:04:00Z</dcterms:created>
  <dcterms:modified xsi:type="dcterms:W3CDTF">2021-05-27T10:07:00Z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2021</vt:lpwstr>
  </property>
  <property fmtid="{D5CDD505-2E9C-101B-9397-08002B2CF9AE}" pid="3" name="output">
    <vt:lpwstr/>
  </property>
  <property fmtid="{D5CDD505-2E9C-101B-9397-08002B2CF9AE}" pid="4" name="subtitle">
    <vt:lpwstr>Briefing Note 4: Unemployment in the COVID-19 UK: Exploring gender, ethnicity, and class</vt:lpwstr>
  </property>
</Properties>
</file>