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sz w:val="24"/>
          <w:szCs w:val="24"/>
        </w:rPr>
        <w:drawing>
          <wp:inline distB="114300" distT="114300" distL="114300" distR="114300">
            <wp:extent cx="5653088" cy="1447800"/>
            <wp:effectExtent b="0" l="0" r="0" t="0"/>
            <wp:docPr descr="Un dibujo animado con letras&#10;&#10;El contenido generado por IA puede ser incorrecto." id="13" name="image4.png"/>
            <a:graphic>
              <a:graphicData uri="http://schemas.openxmlformats.org/drawingml/2006/picture">
                <pic:pic>
                  <pic:nvPicPr>
                    <pic:cNvPr descr="Un dibujo animado con letras&#10;&#10;El contenido generado por IA puede ser incorrecto." id="0" name="image4.png"/>
                    <pic:cNvPicPr preferRelativeResize="0"/>
                  </pic:nvPicPr>
                  <pic:blipFill>
                    <a:blip r:embed="rId6"/>
                    <a:srcRect b="0" l="0" r="0" t="0"/>
                    <a:stretch>
                      <a:fillRect/>
                    </a:stretch>
                  </pic:blipFill>
                  <pic:spPr>
                    <a:xfrm>
                      <a:off x="0" y="0"/>
                      <a:ext cx="5653088"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after="0" w:before="0" w:line="360" w:lineRule="auto"/>
        <w:jc w:val="center"/>
        <w:rPr>
          <w:sz w:val="24"/>
          <w:szCs w:val="24"/>
        </w:rPr>
      </w:pPr>
      <w:r>
        <w:rPr>
          <w:rFonts w:ascii="Arial" w:hAnsi="Arial"/>
          <w:b/>
          <w:sz w:val="26"/>
        </w:rPr>
        <w:t>PROBLEMA PROTOTÍPICO: BACHEO INTELIGENTE Y PRIORIZACIÓN URBANA</w:t>
        <w:br/>
        <w:t>REVISIÓN DE LITERATURA CIENTÍFICA EN TIJUANA, B.C.</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spacing w:line="360" w:lineRule="auto"/>
        <w:jc w:val="center"/>
        <w:rPr>
          <w:sz w:val="24"/>
          <w:szCs w:val="24"/>
        </w:rPr>
      </w:pPr>
      <w:r/>
    </w:p>
    <w:p w:rsidR="00000000" w:rsidDel="00000000" w:rsidP="00000000" w:rsidRDefault="00000000" w:rsidRPr="00000000" w14:paraId="00000005">
      <w:pPr>
        <w:spacing w:line="360" w:lineRule="auto"/>
        <w:jc w:val="center"/>
        <w:rPr>
          <w:sz w:val="24"/>
          <w:szCs w:val="24"/>
        </w:rPr>
      </w:pPr>
      <w:r/>
    </w:p>
    <w:p w:rsidR="00000000" w:rsidDel="00000000" w:rsidP="00000000" w:rsidRDefault="00000000" w:rsidRPr="00000000" w14:paraId="00000006">
      <w:pPr>
        <w:spacing w:line="360" w:lineRule="auto"/>
        <w:jc w:val="center"/>
        <w:rPr>
          <w:sz w:val="24"/>
          <w:szCs w:val="24"/>
        </w:rPr>
      </w:pPr>
      <w:r>
        <w:rPr>
          <w:rFonts w:ascii="Arial" w:hAnsi="Arial"/>
          <w:b/>
          <w:sz w:val="24"/>
        </w:rPr>
        <w:t>Triche Ramírez Luis Armando</w:t>
        <w:br/>
        <w:t>Matrícula: 25251667-2</w:t>
      </w:r>
    </w:p>
    <w:p w:rsidR="00000000" w:rsidDel="00000000" w:rsidP="00000000" w:rsidRDefault="00000000" w:rsidRPr="00000000" w14:paraId="00000007">
      <w:pPr>
        <w:spacing w:line="360" w:lineRule="auto"/>
        <w:jc w:val="cente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keepNext w:val="0"/>
        <w:keepLines w:val="0"/>
        <w:spacing w:after="240" w:before="240" w:line="360" w:lineRule="auto"/>
        <w:jc w:val="center"/>
        <w:rPr>
          <w:sz w:val="24"/>
          <w:szCs w:val="24"/>
        </w:rPr>
      </w:pPr>
      <w:r>
        <w:rPr>
          <w:rFonts w:ascii="Arial" w:hAnsi="Arial"/>
          <w:b/>
          <w:sz w:val="24"/>
        </w:rPr>
        <w:t>Asignatura: PENSAMIENTO COMPLEJO PARA LA ARGUMENTACIÓN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keepNext w:val="0"/>
        <w:keepLines w:val="0"/>
        <w:spacing w:after="240" w:before="240" w:line="360" w:lineRule="auto"/>
        <w:jc w:val="center"/>
        <w:rPr>
          <w:sz w:val="24"/>
          <w:szCs w:val="24"/>
        </w:rPr>
      </w:pPr>
      <w:r>
        <w:rPr>
          <w:rFonts w:ascii="Arial" w:hAnsi="Arial"/>
          <w:b/>
          <w:sz w:val="24"/>
        </w:rPr>
        <w:t>Docente: Mtra. DEYSY MARGARITA TOVAR HERNÁNDEZ</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keepNext w:val="0"/>
        <w:keepLines w:val="0"/>
        <w:spacing w:after="240" w:before="240" w:line="360" w:lineRule="auto"/>
        <w:jc w:val="center"/>
        <w:rPr>
          <w:sz w:val="24"/>
          <w:szCs w:val="24"/>
        </w:rPr>
      </w:pPr>
      <w:r>
        <w:rPr>
          <w:rFonts w:ascii="Arial" w:hAnsi="Arial"/>
          <w:b/>
          <w:sz w:val="22"/>
        </w:rPr>
        <w:t>Licenciatura en Ciencias de Datos para Negocios (LCDN)   Grupo: 301</w:t>
        <w:br/>
        <w:t>Semestre 2026-2 | Semana 3 (Delimitación y Literatura)</w:t>
      </w:r>
    </w:p>
    <w:p w:rsidR="00000000" w:rsidDel="00000000" w:rsidP="00000000" w:rsidRDefault="00000000" w:rsidRPr="00000000" w14:paraId="0000000E">
      <w:pPr>
        <w:keepNext w:val="0"/>
        <w:keepLines w:val="0"/>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0F">
      <w:pPr>
        <w:keepNext w:val="0"/>
        <w:keepLines w:val="0"/>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10">
      <w:pPr>
        <w:keepNext w:val="0"/>
        <w:keepLines w:val="0"/>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11">
      <w:pPr>
        <w:keepNext w:val="0"/>
        <w:keepLines w:val="0"/>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12">
      <w:pPr>
        <w:keepNext w:val="0"/>
        <w:keepLines w:val="0"/>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13">
      <w:pPr>
        <w:keepNext w:val="0"/>
        <w:keepLines w:val="0"/>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14">
      <w:pPr>
        <w:keepNext w:val="0"/>
        <w:keepLines w:val="0"/>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keepNext w:val="0"/>
        <w:keepLines w:val="0"/>
        <w:spacing w:after="240" w:before="240" w:line="360" w:lineRule="auto"/>
        <w:jc w:val="center"/>
        <w:rPr>
          <w:b w:val="1"/>
          <w:bCs w:val="1"/>
          <w:sz w:val="26"/>
          <w:szCs w:val="26"/>
        </w:rPr>
      </w:pPr>
      <w:r>
        <w:rPr>
          <w:rFonts w:ascii="Arial" w:hAnsi="Arial"/>
          <w:sz w:val="22"/>
        </w:rPr>
        <w:t>Tijuana, Baja California, a 14 de septiembre de 2026</w:t>
      </w:r>
    </w:p>
    <w:sdt>
      <w:sdtPr>
        <w:id w:val="-1919061038"/>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52f2tqy7un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A1_U2 Funciones y Gráficas: Actividad 1.U2</w:t>
              <w:tab/>
              <w:t xml:space="preserve">0</w:t>
            </w:r>
          </w:hyperlink>
          <w:r w:rsidDel="00000000" w:rsidR="00000000" w:rsidRPr="00000000">
            <w:rPr>
              <w:rtl w:val="0"/>
            </w:rPr>
          </w:r>
          <w:r w:rsidDel="00000000" w:rsidR="00000000" w:rsidRPr="00000000">
            <w:fldChar w:fldCharType="end"/>
          </w:r>
        </w:p>
      </w:sdtContent>
    </w:sdt>
    <w:p>
      <w:r>
        <w:br w:type="page"/>
      </w:r>
    </w:p>
    <w:p>
      <w:pPr>
        <w:spacing w:before="80" w:after="40"/>
        <w:jc w:val="center"/>
      </w:pPr>
      <w:r>
        <w:rPr>
          <w:rFonts w:ascii="Arial" w:hAnsi="Arial"/>
          <w:b/>
          <w:color w:val="1B365D"/>
          <w:sz w:val="28"/>
        </w:rPr>
        <w:t>BACHEO INTELIGENTE Y PRIORIZACIÓN URBANA:</w:t>
        <w:br/>
        <w:t>REVISIÓN DE LITERATURA Y ANÁLISIS COMPLEJO EN TIJUANA</w:t>
      </w:r>
    </w:p>
    <w:p>
      <w:pPr>
        <w:spacing w:after="280"/>
        <w:jc w:val="center"/>
      </w:pPr>
      <w:r>
        <w:rPr>
          <w:rFonts w:ascii="Arial" w:hAnsi="Arial"/>
          <w:i/>
          <w:color w:val="6C757D"/>
          <w:sz w:val="21"/>
        </w:rPr>
        <w:t>Evidencia Académica de la Semana 3 | Ciclo Escolar 2026-2</w:t>
        <w:br/>
        <w:t>Universidad Nacional Rosario Castellanos — Sede Tijuana</w:t>
      </w:r>
    </w:p>
    <w:p>
      <w:pPr>
        <w:spacing w:before="280" w:after="80"/>
        <w:jc w:val="left"/>
      </w:pPr>
      <w:r>
        <w:rPr>
          <w:rFonts w:ascii="Arial" w:hAnsi="Arial"/>
          <w:b/>
          <w:color w:val="1B365D"/>
          <w:sz w:val="24"/>
        </w:rPr>
        <w:t>DECLARACIÓN DE INTEGRIDAD ACADÉMICA Y JUSTIFICACIÓN DEL USO DE IA (NORMA APA 7.ª ED.)</w:t>
      </w:r>
    </w:p>
    <w:tbl>
      <w:tblPr>
        <w:tblW w:type="auto" w:w="0"/>
        <w:jc w:val="center"/>
        <w:tblLayout w:type="fixed"/>
        <w:tblLook w:firstColumn="1" w:firstRow="1" w:lastColumn="0" w:lastRow="0" w:noHBand="0" w:noVBand="1" w:val="04A0"/>
      </w:tblPr>
      <w:tblGrid>
        <w:gridCol w:w="9029"/>
      </w:tblGrid>
      <w:tr>
        <w:tc>
          <w:tcPr>
            <w:tcW w:type="dxa" w:w="9792"/>
            <w:shd w:fill="F4F6F9"/>
            <w:tcMar>
              <w:top w:w="100" w:type="dxa"/>
              <w:bottom w:w="100" w:type="dxa"/>
              <w:left w:w="140" w:type="dxa"/>
              <w:right w:w="140" w:type="dxa"/>
            </w:tcMar>
          </w:tcPr>
          <w:p>
            <w:pPr>
              <w:spacing w:after="0" w:line="276" w:lineRule="auto"/>
            </w:pPr>
            <w:r>
              <w:rPr>
                <w:rFonts w:ascii="Arial" w:hAnsi="Arial"/>
                <w:b/>
                <w:color w:val="1B365D"/>
              </w:rPr>
              <w:t>Marco de Cumplimiento Institucional y Criterio Editorial APA:</w:t>
              <w:br/>
            </w:r>
            <w:r>
              <w:t>De conformidad con las Normas de Convivencia de la Universidad Nacional Rosario Castellanos y la Planeación Didáctica de la UCA 'Pensamiento Complejo para la Argumentación' (Semestre 2026-2, pág. 9), se establece explícitamente: «Los trabajos realizados exclusivamente con inteligencia artificial serán anulados, se puede usar como herramienta de investigación o de apoyo pero no el resultado en su totalidad, cuando se use se deberá de citar en formato tipo APA». Asimismo, según los estándares oficiales de la American Psychological Association (APA Style, 2023), los modelos de lenguaje de gran escala (LLM) no son autores, sino herramientas de apoyo computacional que deben declararse formalmente en la sección metodológica.</w:t>
              <w:br/>
              <w:br/>
              <w:t>• Declaración de Uso Asistido: En la elaboración de este documento, el estudiante empleó el modelo de inteligencia artificial Google Gemini (versión 3.8 / 1.5 Pro) como asistente auxiliar para: (1) la exploración y rastreo de fuentes académicas indexadas sobre infraestructura vial en Tijuana; (2) la revisión de estilo gramatical conforme al manual APA 7.ª edición; y (3) la estructuración comparativa del modelo argumentativo de Toulmin. El análisis crítico, la redacción final, la interpretación de datos y las conclusiones son responsabilidad intelectual exclusiva del estudiante Luis Armando Triche Ramírez.</w:t>
              <w:br/>
              <w:br/>
              <w:t>• Cita Formal en el Texto: (Google, 2024).</w:t>
              <w:br/>
              <w:t>• Referencia Bibliográfica APA 7: Google. (2024). Gemini (Versión 3.8 / 1.5 Pro) [Modelo de lenguaje de gran tamaño]. https://gemini.google.com</w:t>
            </w:r>
          </w:p>
        </w:tc>
      </w:tr>
    </w:tbl>
    <w:p>
      <w:pPr>
        <w:spacing w:after="160"/>
      </w:pPr>
    </w:p>
    <w:p>
      <w:pPr>
        <w:spacing w:before="280" w:after="80"/>
        <w:jc w:val="left"/>
      </w:pPr>
      <w:r>
        <w:rPr>
          <w:rFonts w:ascii="Arial" w:hAnsi="Arial"/>
          <w:b/>
          <w:color w:val="1B365D"/>
          <w:sz w:val="24"/>
        </w:rPr>
        <w:t>1. DELIMITACIÓN DEL PROBLEMA PROTOTÍPICO Y CONTEXTO TEMPORAL</w:t>
      </w:r>
    </w:p>
    <w:p>
      <w:pPr>
        <w:spacing w:after="120" w:line="276" w:lineRule="auto"/>
        <w:jc w:val="both"/>
      </w:pPr>
      <w:r>
        <w:rPr>
          <w:rFonts w:ascii="Arial" w:hAnsi="Arial"/>
          <w:b/>
          <w:color w:val="212529"/>
          <w:sz w:val="21"/>
        </w:rPr>
        <w:t xml:space="preserve">Ubicación en el Cronograma Escolar: </w:t>
      </w:r>
      <w:r>
        <w:rPr>
          <w:rFonts w:ascii="Arial" w:hAnsi="Arial"/>
          <w:color w:val="212529"/>
          <w:sz w:val="21"/>
        </w:rPr>
        <w:t>De acuerdo con el Cronograma Oficial del Ciclo Escolar 2026-2 de la Universidad Nacional Rosario Castellanos, el periodo del 14 al 19 de septiembre de 2026 corresponde a la Semana 3: 'Delimitación del tema / Revisión de literatura'. En esta etapa, las y los estudiantes de la Licenciatura en Ciencias de Datos para Negocios (LCDN) tienen como propósito establecer las bases teóricas y documentales del Problema Prototípico semestral: «Bacheo Inteligente y Priorización Urbana».</w:t>
      </w:r>
    </w:p>
    <w:p>
      <w:pPr>
        <w:spacing w:after="120" w:line="276" w:lineRule="auto"/>
        <w:jc w:val="both"/>
      </w:pPr>
      <w:r>
        <w:rPr>
          <w:rFonts w:ascii="Arial" w:hAnsi="Arial"/>
          <w:color w:val="212529"/>
          <w:sz w:val="21"/>
        </w:rPr>
        <w:t>El problema prototípico aborda el deterioro sistemático de la carpeta asfáltica (baches, agrietamientos, deformaciones y colapsos estructurales) en los municipios del país, con especial énfasis en su manifestación urbana local en Tijuana, Baja California. Tradicionalmente, las administraciones públicas operan bajo un modelo reactivo: las reparaciones viales se ejecutan atendiendo el orden cronológico de llamadas telefónicas o cediendo ante la presión de bloqueos vecinales. Este esquema lineal ignora que un bache con escasos reportes puede encontrarse sobre una línea vital de transporte pesado o una red hidráulica subterránea a punto de colapsar, mientras que una vía con cientos de reportes puede presentar únicamente daños superficiales estables. La Ciencia de Datos permite sustituir la discrecionalidad política por un modelo de priorización multicriterio basado en riesgo, aforo y beneficio social colectivo.</w:t>
      </w:r>
    </w:p>
    <w:p>
      <w:pPr>
        <w:spacing w:before="280" w:after="80"/>
        <w:jc w:val="left"/>
      </w:pPr>
      <w:r>
        <w:rPr>
          <w:rFonts w:ascii="Arial" w:hAnsi="Arial"/>
          <w:b/>
          <w:color w:val="1B365D"/>
          <w:sz w:val="24"/>
        </w:rPr>
        <w:t>2. REVISIÓN DE LITERATURA: ARTÍCULO DE INVESTIGACIÓN CIENTÍFICA EN TIJUANA, B.C.</w:t>
      </w:r>
    </w:p>
    <w:tbl>
      <w:tblPr>
        <w:tblW w:type="auto" w:w="0"/>
        <w:jc w:val="center"/>
        <w:tblLayout w:type="fixed"/>
        <w:tblLook w:firstColumn="1" w:firstRow="1" w:lastColumn="0" w:lastRow="0" w:noHBand="0" w:noVBand="1" w:val="04A0"/>
      </w:tblPr>
      <w:tblGrid>
        <w:gridCol w:w="9029"/>
      </w:tblGrid>
      <w:tr>
        <w:tc>
          <w:tcPr>
            <w:tcW w:type="dxa" w:w="9792"/>
            <w:shd w:fill="EBF5FB"/>
            <w:tcMar>
              <w:top w:w="100" w:type="dxa"/>
              <w:bottom w:w="100" w:type="dxa"/>
              <w:left w:w="140" w:type="dxa"/>
              <w:right w:w="140" w:type="dxa"/>
            </w:tcMar>
          </w:tcPr>
          <w:p>
            <w:pPr>
              <w:spacing w:after="0" w:line="276" w:lineRule="auto"/>
            </w:pPr>
            <w:r>
              <w:rPr>
                <w:rFonts w:ascii="Arial" w:hAnsi="Arial"/>
                <w:b/>
                <w:color w:val="1B365D"/>
              </w:rPr>
              <w:t>Ficha Bibliográfica del Artículo Científico Seleccionado (APA 7.ª edición):</w:t>
              <w:br/>
            </w:r>
            <w:r>
              <w:t>Fuentes Flores, C. M., &amp; Hernández Hernández, V. (2009). La estructura espacial urbana y la incidencia de accidentes de tránsito en Tijuana, Baja California (2003-2004). Frontera Norte, 21(42), 109-138. El Colegio de la Frontera Norte (COLEF). https://www.scielo.org.mx/pdf/fn/v21n42/v21n42a5.pdf</w:t>
              <w:br/>
              <w:br/>
            </w:r>
            <w:r>
              <w:rPr>
                <w:b/>
              </w:rPr>
              <w:t xml:space="preserve">• Autor Principal: </w:t>
            </w:r>
            <w:r>
              <w:t>Dr. César M. Fuentes Flores (Investigador Titular de El Colegio de la Frontera Norte - COLEF).</w:t>
              <w:br/>
            </w:r>
            <w:r>
              <w:rPr>
                <w:b/>
              </w:rPr>
              <w:t xml:space="preserve">• Coautor: </w:t>
            </w:r>
            <w:r>
              <w:t>Mtro. Vladimir Hernández Hernández (Investigador en Estudios Urbanos, COLEF).</w:t>
              <w:br/>
            </w:r>
            <w:r>
              <w:rPr>
                <w:b/>
              </w:rPr>
              <w:t xml:space="preserve">• Revista / Indexación: </w:t>
            </w:r>
            <w:r>
              <w:t>Frontera Norte (Revista científica arbitrada por pares, indexada en SciELO México, Scopus y Sistema Nacional CONAHCYT).</w:t>
              <w:br/>
            </w:r>
            <w:r>
              <w:rPr>
                <w:b/>
              </w:rPr>
              <w:t xml:space="preserve">• Entorno Geográfico: </w:t>
            </w:r>
            <w:r>
              <w:t>Municipio de Tijuana, Baja California (cobertura espacial de toda la mancha urbana a nivel de AGEB).</w:t>
            </w:r>
          </w:p>
        </w:tc>
      </w:tr>
    </w:tbl>
    <w:p>
      <w:pPr>
        <w:spacing w:after="120"/>
      </w:pPr>
    </w:p>
    <w:p>
      <w:pPr>
        <w:spacing w:before="200" w:after="60"/>
        <w:jc w:val="left"/>
      </w:pPr>
      <w:r>
        <w:rPr>
          <w:rFonts w:ascii="Arial" w:hAnsi="Arial"/>
          <w:b/>
          <w:color w:val="2980B9"/>
          <w:sz w:val="22"/>
        </w:rPr>
        <w:t>2.1 Resumen Analítico del Estudio</w:t>
      </w:r>
    </w:p>
    <w:p>
      <w:pPr>
        <w:spacing w:after="120" w:line="276" w:lineRule="auto"/>
        <w:jc w:val="both"/>
      </w:pPr>
      <w:r>
        <w:rPr>
          <w:rFonts w:ascii="Arial" w:hAnsi="Arial"/>
          <w:color w:val="212529"/>
          <w:sz w:val="21"/>
        </w:rPr>
        <w:t>El artículo publicado por El Colegio de la Frontera Norte analiza la relación existente entre los componentes de la estructura espacial urbana de Tijuana —flujo vehicular, mixtura de usos del suelo (comercial, industrial, residencial) y características socioeconómicas— y la incidencia espacial de accidentes de tránsito terrestres (específicamente colisiones y choques automovilísticos).</w:t>
      </w:r>
    </w:p>
    <w:p>
      <w:pPr>
        <w:spacing w:before="200" w:after="60"/>
        <w:jc w:val="left"/>
      </w:pPr>
      <w:r>
        <w:rPr>
          <w:rFonts w:ascii="Arial" w:hAnsi="Arial"/>
          <w:b/>
          <w:color w:val="2980B9"/>
          <w:sz w:val="22"/>
        </w:rPr>
        <w:t>2.2 Metodología de Ciencia de Datos Aplicada</w:t>
      </w:r>
    </w:p>
    <w:p>
      <w:pPr>
        <w:spacing w:after="120" w:line="276" w:lineRule="auto"/>
        <w:jc w:val="both"/>
      </w:pPr>
      <w:r>
        <w:rPr>
          <w:rFonts w:ascii="Arial" w:hAnsi="Arial"/>
          <w:color w:val="212529"/>
          <w:sz w:val="21"/>
        </w:rPr>
        <w:t>La investigación destaca por su rigurosa arquitectura metodológica, plenamente afín al perfil del científico de datos para negocios:</w:t>
        <w:br/>
        <w:t>1. Integración de Fuentes de Datos: Los autores construyeron una base de datos geolocalizada a nivel de Área Geoestadística Básica (AGEB), fusionando registros policiales de la Dirección de Seguridad Pública Municipal de Tijuana con microdatos de los Censos de Población (2000) y Censos Económicos (2004) del INEGI.</w:t>
        <w:br/>
        <w:t>2. Modelado Econométrico y Probabilístico: Debido a que la siniestralidad vial se manifiesta como una variable discreta de conteo que presenta sobredispersión (la varianza supera a la media muestral), los autores descartaron la regresión lineal ordinaria e implementaron un Modelo de Regresión Binomial Negativo, garantizando estimaciones no sesgadas de la probabilidad de ocurrencia de siniestros.</w:t>
        <w:br/>
        <w:t>3. Análisis de Dependencia Espacial: Se evaluaron los patrones de autocorrelación espacial para identificar aglomeraciones críticas ('hotspots') de riesgo vial a lo largo de las principales arterias de Tijuana.</w:t>
      </w:r>
    </w:p>
    <w:p>
      <w:pPr>
        <w:spacing w:before="200" w:after="60"/>
        <w:jc w:val="left"/>
      </w:pPr>
      <w:r>
        <w:rPr>
          <w:rFonts w:ascii="Arial" w:hAnsi="Arial"/>
          <w:b/>
          <w:color w:val="2980B9"/>
          <w:sz w:val="22"/>
        </w:rPr>
        <w:t>2.3 Principales Hallazgos Científicos en Tijuana</w:t>
      </w:r>
    </w:p>
    <w:p>
      <w:pPr>
        <w:spacing w:after="120" w:line="276" w:lineRule="auto"/>
        <w:jc w:val="both"/>
      </w:pPr>
      <w:r>
        <w:rPr>
          <w:rFonts w:ascii="Arial" w:hAnsi="Arial"/>
          <w:color w:val="212529"/>
          <w:sz w:val="21"/>
        </w:rPr>
        <w:t>Los resultados econométricos del estudio demostraron que:</w:t>
        <w:br/>
        <w:t>• El volumen del flujo vehicular y los usos de suelo comercial y de servicios son estadísticamente significativos para explicar una mayor probabilidad de accidentes viales. Las zonas comerciales atraen tráfico continuo y maniobras imprevistas, multiplicando los puntos de conflicto.</w:t>
        <w:br/>
        <w:t>• Las zonas industriales y corredores de carga pesada en Tijuana experimentan un desgaste estructural severo que incrementa la gravedad de los impactos en caso de pérdida de control vehicular provocada por baches o deformaciones del asfalto.</w:t>
        <w:br/>
        <w:t>• La siniestralidad no responde a un patrón aleatorio o de 'mala suerte', sino que se concentra en nodos viales predecibles a partir de variables objetivas.</w:t>
      </w:r>
    </w:p>
    <w:p>
      <w:pPr>
        <w:spacing w:before="280" w:after="80"/>
        <w:jc w:val="left"/>
      </w:pPr>
      <w:r>
        <w:rPr>
          <w:rFonts w:ascii="Arial" w:hAnsi="Arial"/>
          <w:b/>
          <w:color w:val="1B365D"/>
          <w:sz w:val="24"/>
        </w:rPr>
        <w:t>3. PROBLEMATIZACIÓN Y VINCULACIÓN CON EL PENSAMIENTO COMPLEJO</w:t>
      </w:r>
    </w:p>
    <w:p>
      <w:pPr>
        <w:spacing w:after="120" w:line="276" w:lineRule="auto"/>
        <w:jc w:val="both"/>
      </w:pPr>
      <w:r>
        <w:rPr>
          <w:rFonts w:ascii="Arial" w:hAnsi="Arial"/>
          <w:color w:val="212529"/>
          <w:sz w:val="21"/>
        </w:rPr>
        <w:t>En la planeación didáctica de la asignatura 'Pensamiento Complejo para la Argumentación', la Mtra. Deysy Margarita Tovar Hernández introduce el Incidente Crítico: «El dilema del riesgo invisible: Transitar del primer reporte a la prevención sistémica». Dicho dilema obliga a la administración pública de Tijuana a decidir entre dos intervenciones viales con presupuesto restringido:</w:t>
        <w:br/>
        <w:t>• Zona A (El reclamo histórico): Avenida habitacional con más de 2,000 reportes acumulados a lo largo de seis meses. Presenta baches molestos pero estables y vecinos organizados que exigen atención bajo la premisa 'llegamos primero'.</w:t>
        <w:br/>
        <w:t>• Zona B (El riesgo sistémico): Arteria industrial estratégica que conecta los parques maquiladores con el centro de Tijuana. Cuenta únicamente con 5 reportes de hundimiento leve; sin embargo, los datos de aforo de transporte pesado e infraestructura subterránea alertan sobre una fractura inminente que derivará en un socavón catastrófico, con paralización económica y un costo de reparación 30 veces mayor.</w:t>
      </w:r>
    </w:p>
    <w:p>
      <w:pPr>
        <w:spacing w:before="200" w:after="60"/>
        <w:jc w:val="left"/>
      </w:pPr>
      <w:r>
        <w:rPr>
          <w:rFonts w:ascii="Arial" w:hAnsi="Arial"/>
          <w:b/>
          <w:color w:val="2980B9"/>
          <w:sz w:val="22"/>
        </w:rPr>
        <w:t>3.1 Superación del Paradigma Lineal</w:t>
      </w:r>
    </w:p>
    <w:p>
      <w:pPr>
        <w:spacing w:after="120" w:line="276" w:lineRule="auto"/>
        <w:jc w:val="both"/>
      </w:pPr>
      <w:r>
        <w:rPr>
          <w:rFonts w:ascii="Arial" w:hAnsi="Arial"/>
          <w:color w:val="212529"/>
          <w:sz w:val="21"/>
        </w:rPr>
        <w:t>Atender la Zona A solo por acumular más reportes representa un pensamiento lineal y reduccionista (Morin, 1998): asume erróneamente que la cantidad de llamadas equivale a la magnitud del impacto social. En contraste, el enfoque de Sistemas Sociales Complejos (Meadows, 2008) concibe la ciudad como una red interconectada. Intervenir la Zona B actúa como un punto de apalancamiento que previene una reacción en cadena: el colapso de una arteria industrial provocaría desabasto, daño al drenaje sanitario, corte de agua potable y sobrecarga masiva de vías alternas.</w:t>
      </w:r>
    </w:p>
    <w:p>
      <w:pPr>
        <w:spacing w:before="200" w:after="60"/>
        <w:jc w:val="left"/>
      </w:pPr>
      <w:r>
        <w:rPr>
          <w:rFonts w:ascii="Arial" w:hAnsi="Arial"/>
          <w:b/>
          <w:color w:val="2980B9"/>
          <w:sz w:val="22"/>
        </w:rPr>
        <w:t>3.2 Detección de Falacias en el Discurso Vecinal</w:t>
      </w:r>
    </w:p>
    <w:p>
      <w:pPr>
        <w:spacing w:after="120" w:line="276" w:lineRule="auto"/>
        <w:jc w:val="both"/>
      </w:pPr>
      <w:r>
        <w:rPr>
          <w:rFonts w:ascii="Arial" w:hAnsi="Arial"/>
          <w:color w:val="212529"/>
          <w:sz w:val="21"/>
        </w:rPr>
        <w:t>Al analizar la postura de los vecinos de la Zona A, se identifican dos falacias argumentativas clásicas:</w:t>
        <w:br/>
        <w:t>1. Falacia de Apelación a la Tradición (Argumentum ad antiquitatem): 'Siempre se ha atendido por orden de llegada, por lo tanto debe respetarse nuestro turno'. Esta postura confunde la costumbre administrativa con la justicia distributiva o la eficiencia técnica.</w:t>
        <w:br/>
        <w:t>2. Falacia de Falsa Causalidad (Post hoc ergo propter hoc): 'Nuestra calle tiene más quejas, por lo tanto es la que más peligro representa'. El número de reportes depende de la conectividad digital y el tiempo libre de los vecinos, no del riesgo físico estructural del pavimento.</w:t>
      </w:r>
    </w:p>
    <w:p>
      <w:pPr>
        <w:spacing w:before="200" w:after="60"/>
        <w:jc w:val="left"/>
      </w:pPr>
      <w:r>
        <w:rPr>
          <w:rFonts w:ascii="Arial" w:hAnsi="Arial"/>
          <w:b/>
          <w:color w:val="2980B9"/>
          <w:sz w:val="22"/>
        </w:rPr>
        <w:t>3.3 Construcción Argumentativa basada en Evidencia (Modelo de Toulmin)</w:t>
      </w:r>
    </w:p>
    <w:p>
      <w:pPr>
        <w:spacing w:after="120" w:line="276" w:lineRule="auto"/>
        <w:jc w:val="both"/>
      </w:pPr>
      <w:r>
        <w:rPr>
          <w:rFonts w:ascii="Arial" w:hAnsi="Arial"/>
          <w:color w:val="212529"/>
          <w:sz w:val="21"/>
        </w:rPr>
        <w:t>Empleando la estructura argumentativa de Stephen Toulmin (2003), se articula la justificación técnica de la intervención:</w:t>
        <w:br/>
        <w:t>• Aserción (Pretensión): La cuadrilla municipal de bacheo debe intervenir prioritariamente la Zona B antes que la Zona A.</w:t>
        <w:br/>
        <w:t>• Evidencia (Datos): Cinco reportes de hundimiento progresivo correlacionados con aforo de 12,000 vehículos pesados diarios y registros de tubería colapsable en la plataforma inteligente.</w:t>
        <w:br/>
        <w:t>• Garantía: La prevención de riesgos sistémicos catastróficos que amenazan la seguridad física, el abasto de agua y la cadena logística debe prevalecer sobre la remediación de molestias superficiales estables.</w:t>
        <w:br/>
        <w:t>• Respaldo: El modelo de regresión binomial negativa de Fuentes y Hernández (2009, COLEF) y las estadísticas de siniestralidad de INEGI-ATUS, que demuestran que las arterias de flujo pesado concentran los accidentes de mayor impacto humano y económico.</w:t>
        <w:br/>
        <w:t>• Reserva (Refutación): Salvo que en la Zona A surja una emergencia hidrosanitaria súbita que ponga en riesgo inmediato la vida de los residentes.</w:t>
        <w:br/>
        <w:t>• Cualificador Modal: Necesariamente y con alto grado de certidumbre probabilística.</w:t>
      </w:r>
    </w:p>
    <w:p>
      <w:pPr>
        <w:spacing w:before="200" w:after="60"/>
        <w:jc w:val="left"/>
      </w:pPr>
      <w:r>
        <w:rPr>
          <w:rFonts w:ascii="Arial" w:hAnsi="Arial"/>
          <w:b/>
          <w:color w:val="2980B9"/>
          <w:sz w:val="22"/>
        </w:rPr>
        <w:t>3.4 Estrategia de Negociación Empática y Cultura de Paz</w:t>
      </w:r>
    </w:p>
    <w:p>
      <w:pPr>
        <w:spacing w:after="120" w:line="276" w:lineRule="auto"/>
        <w:jc w:val="both"/>
      </w:pPr>
      <w:r>
        <w:rPr>
          <w:rFonts w:ascii="Arial" w:hAnsi="Arial"/>
          <w:color w:val="212529"/>
          <w:sz w:val="21"/>
        </w:rPr>
        <w:t>El científico de datos no debe imponer la decisión de manera tecnocrática o fría. La movilización de habilidades blandas e inteligencia emocional es indispensable para construir acuerdos legítimos con la comunidad de la Zona A:</w:t>
        <w:br/>
        <w:t>1. Escucha Activa y Validación Emocional: Reconocer el hartazgo legítimo de los vecinos por los seis meses de espera, evitando descalificar sus 2,000 reportes.</w:t>
        <w:br/>
        <w:t>2. Transparencia Algorítmica: Mostrar abiertamente en pantallas el Semáforo de Riesgo y los datos geofísicos del socavón inminente en la Zona B, explicando que no se trata de favoritismo político sino de salvar vidas y evitar un desastre urbano común.</w:t>
        <w:br/>
        <w:t>3. Compromiso Calendarizado con Recursos Remanentes: Integrar de inmediato a la Zona A en el siguiente paquete del Programa de Bacheo Nocturno con una fecha límite verificable, aplicando cuadrillas menores de bacheo en frío para tapar los baches más agresivos de forma provisional.</w:t>
      </w:r>
    </w:p>
    <w:p>
      <w:pPr>
        <w:spacing w:before="280" w:after="80"/>
        <w:jc w:val="left"/>
      </w:pPr>
      <w:r>
        <w:rPr>
          <w:rFonts w:ascii="Arial" w:hAnsi="Arial"/>
          <w:b/>
          <w:color w:val="1B365D"/>
          <w:sz w:val="24"/>
        </w:rPr>
        <w:t>4. CONCLUSIONES</w:t>
      </w:r>
    </w:p>
    <w:p>
      <w:pPr>
        <w:spacing w:after="120" w:line="276" w:lineRule="auto"/>
        <w:jc w:val="both"/>
      </w:pPr>
      <w:r>
        <w:rPr>
          <w:rFonts w:ascii="Arial" w:hAnsi="Arial"/>
          <w:color w:val="212529"/>
          <w:sz w:val="21"/>
        </w:rPr>
        <w:t>La integración de la revisión de literatura científica en Tijuana con las herramientas del pensamiento complejo demuestra que la Ciencia de Datos para Negocios trasciende la mera programación de algoritmos. En la gestión pública y urbana, los datos deben transformarse en argumentos éticos, sólidos y transparentes capaces de mediar en conflictos sociales y optimizar los recursos públicos en beneficio de toda la sociedad.</w:t>
      </w:r>
    </w:p>
    <w:p>
      <w:pPr>
        <w:spacing w:before="280" w:after="80"/>
        <w:jc w:val="left"/>
      </w:pPr>
      <w:r>
        <w:rPr>
          <w:rFonts w:ascii="Arial" w:hAnsi="Arial"/>
          <w:b/>
          <w:color w:val="1B365D"/>
          <w:sz w:val="24"/>
        </w:rPr>
        <w:t>REFERENCIAS BIBLIOGRÁFICAS (FORMATO APA 7.ª EDICIÓN)</w:t>
      </w:r>
    </w:p>
    <w:p>
      <w:pPr>
        <w:spacing w:after="80" w:line="276" w:lineRule="auto"/>
        <w:ind w:left="720" w:hanging="720"/>
      </w:pPr>
      <w:r>
        <w:rPr>
          <w:rFonts w:ascii="Arial" w:hAnsi="Arial"/>
          <w:sz w:val="19"/>
        </w:rPr>
        <w:t>Fuentes Flores, C. M., &amp; Hernández Hernández, V. (2009). La estructura espacial urbana y la incidencia de accidentes de tránsito en Tijuana, Baja California (2003-2004). Frontera Norte, 21(42), 109-138. El Colegio de la Frontera Norte (COLEF). https://www.scielo.org.mx/pdf/fn/v21n42/v21n42a5.pdf</w:t>
      </w:r>
    </w:p>
    <w:p>
      <w:pPr>
        <w:spacing w:after="80" w:line="276" w:lineRule="auto"/>
        <w:ind w:left="720" w:hanging="720"/>
      </w:pPr>
      <w:r>
        <w:rPr>
          <w:rFonts w:ascii="Arial" w:hAnsi="Arial"/>
          <w:sz w:val="19"/>
        </w:rPr>
        <w:t>Google. (2024). Gemini (Versión 3.8 / 1.5 Pro) [Modelo de lenguaje de gran tamaño]. https://gemini.google.com</w:t>
      </w:r>
    </w:p>
    <w:p>
      <w:pPr>
        <w:spacing w:after="80" w:line="276" w:lineRule="auto"/>
        <w:ind w:left="720" w:hanging="720"/>
      </w:pPr>
      <w:r>
        <w:rPr>
          <w:rFonts w:ascii="Arial" w:hAnsi="Arial"/>
          <w:sz w:val="19"/>
        </w:rPr>
        <w:t>Instituto Nacional de Estadística y Geografía [INEGI]. (2024). Estadística de accidentes de tránsito terrestre en zonas urbanas y suburbanas (ATUS), 2024. INEGI. https://www.inegi.org.mx/programas/accidentes/</w:t>
      </w:r>
    </w:p>
    <w:p>
      <w:pPr>
        <w:spacing w:after="80" w:line="276" w:lineRule="auto"/>
        <w:ind w:left="720" w:hanging="720"/>
      </w:pPr>
      <w:r>
        <w:rPr>
          <w:rFonts w:ascii="Arial" w:hAnsi="Arial"/>
          <w:sz w:val="19"/>
        </w:rPr>
        <w:t>Meadows, D. H. (2008). Thinking in systems: A primer. Chelsea Green Publishing.</w:t>
      </w:r>
    </w:p>
    <w:p>
      <w:pPr>
        <w:spacing w:after="80" w:line="276" w:lineRule="auto"/>
        <w:ind w:left="720" w:hanging="720"/>
      </w:pPr>
      <w:r>
        <w:rPr>
          <w:rFonts w:ascii="Arial" w:hAnsi="Arial"/>
          <w:sz w:val="19"/>
        </w:rPr>
        <w:t>Morin, E. (1998). Introducción al pensamiento complejo. Editorial Gedisa.</w:t>
      </w:r>
    </w:p>
    <w:p>
      <w:pPr>
        <w:spacing w:after="80" w:line="276" w:lineRule="auto"/>
        <w:ind w:left="720" w:hanging="720"/>
      </w:pPr>
      <w:r>
        <w:rPr>
          <w:rFonts w:ascii="Arial" w:hAnsi="Arial"/>
          <w:sz w:val="19"/>
        </w:rPr>
        <w:t>Toulmin, S. (2003). Los usos de la argumentación. Ediciones Península.</w:t>
      </w:r>
    </w:p>
    <w:p>
      <w:pPr>
        <w:spacing w:after="80" w:line="276" w:lineRule="auto"/>
        <w:ind w:left="720" w:hanging="720"/>
      </w:pPr>
      <w:r>
        <w:rPr>
          <w:rFonts w:ascii="Arial" w:hAnsi="Arial"/>
          <w:sz w:val="19"/>
        </w:rPr>
        <w:t>Universidad Nacional Rosario Castellanos [UNRC]. (2026a). Cronograma Oficial del Ciclo Escolar 2026-2. Subdirección de Planes y Programas de Estudio.</w:t>
      </w:r>
    </w:p>
    <w:p>
      <w:pPr>
        <w:spacing w:after="80" w:line="276" w:lineRule="auto"/>
        <w:ind w:left="720" w:hanging="720"/>
      </w:pPr>
      <w:r>
        <w:rPr>
          <w:rFonts w:ascii="Arial" w:hAnsi="Arial"/>
          <w:sz w:val="19"/>
        </w:rPr>
        <w:t>Universidad Nacional Rosario Castellanos [UNRC]. (2026b). Planeación Didáctica Semestre 2026-2: Pensamiento Complejo para la Argumentación (Clave TR3PEC6, Mtra. Deysy Margarita Tovar Hernández). Dirección de Campos de Conocimiento y Desarrollo Docente.</w:t>
      </w:r>
    </w:p>
    <w:p>
      <w:pPr>
        <w:spacing w:after="80" w:line="276" w:lineRule="auto"/>
        <w:ind w:left="720" w:hanging="720"/>
      </w:pPr>
      <w:r>
        <w:rPr>
          <w:rFonts w:ascii="Arial" w:hAnsi="Arial"/>
          <w:sz w:val="19"/>
        </w:rPr>
        <w:t>Universidad Nacional Rosario Castellanos [UNRC]. (2026c). Problema Prototípico e Incidentes Críticos del 3.er Semestre LCDN: Bacheo Inteligente y Priorización Urbana. Dirección de Asuntos Académicos.</w:t>
      </w:r>
    </w:p>
    <w:sectPr>
      <w:headerReference r:id="rId32" w:type="default"/>
      <w:footerReference r:id="rId33" w:type="default"/>
      <w:footerReference r:id="rId3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Style w:val="Heading2"/>
      <w:keepNext w:val="0"/>
      <w:keepLines w:val="0"/>
      <w:spacing w:after="80" w:before="0" w:lineRule="auto"/>
      <w:rPr>
        <w:b w:val="1"/>
        <w:bCs w:val="1"/>
        <w:sz w:val="34"/>
        <w:szCs w:val="34"/>
      </w:rPr>
    </w:pPr>
    <w:bookmarkStart w:colFirst="0" w:colLast="0" w:name="_khhzfow3y6th" w:id="2"/>
    <w:bookmarkEnd w:id="2"/>
    <w:r w:rsidDel="00000000" w:rsidR="00000000" w:rsidRPr="00000000">
      <w:rPr>
        <w:rtl w:val="0"/>
      </w:rPr>
    </w:r>
  </w:p>
  <w:p w:rsidR="00000000" w:rsidDel="00000000" w:rsidP="00000000" w:rsidRDefault="00000000" w:rsidRPr="00000000" w14:paraId="000000D0">
    <w:pPr>
      <w:rPr>
        <w:b w:val="1"/>
        <w:bCs w:val="1"/>
        <w:sz w:val="34"/>
        <w:szCs w:val="3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4"/>
        <w:szCs w:val="24"/>
        <w:lang w:val="es"/>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13.jpg"/><Relationship Id="rId21" Type="http://schemas.openxmlformats.org/officeDocument/2006/relationships/image" Target="media/image15.jpg"/><Relationship Id="rId24" Type="http://schemas.openxmlformats.org/officeDocument/2006/relationships/image" Target="media/image11.jp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jpg"/><Relationship Id="rId26" Type="http://schemas.openxmlformats.org/officeDocument/2006/relationships/image" Target="media/image3.jpg"/><Relationship Id="rId25" Type="http://schemas.openxmlformats.org/officeDocument/2006/relationships/image" Target="media/image2.jpg"/><Relationship Id="rId28" Type="http://schemas.openxmlformats.org/officeDocument/2006/relationships/hyperlink" Target="https://www.youtube.com/watch?v=RKTnSlK7b2g" TargetMode="External"/><Relationship Id="rId27" Type="http://schemas.openxmlformats.org/officeDocument/2006/relationships/image" Target="media/image22.jp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youtube.com/watch?v=RKTnSlK7b2g" TargetMode="External"/><Relationship Id="rId7" Type="http://schemas.openxmlformats.org/officeDocument/2006/relationships/image" Target="media/image5.jpg"/><Relationship Id="rId8" Type="http://schemas.openxmlformats.org/officeDocument/2006/relationships/image" Target="media/image14.jpg"/><Relationship Id="rId31" Type="http://schemas.openxmlformats.org/officeDocument/2006/relationships/hyperlink" Target="https://www.google.com/search?q=https://www.youtube.com/watch%3Fv%3Doo-OIMQl7nI" TargetMode="External"/><Relationship Id="rId30" Type="http://schemas.openxmlformats.org/officeDocument/2006/relationships/hyperlink" Target="https://www.google.com/search?q=https://www.youtube.com/watch%3Fv%3Doo-OIMQl7nI" TargetMode="External"/><Relationship Id="rId11" Type="http://schemas.openxmlformats.org/officeDocument/2006/relationships/image" Target="media/image18.jpg"/><Relationship Id="rId33" Type="http://schemas.openxmlformats.org/officeDocument/2006/relationships/footer" Target="footer2.xml"/><Relationship Id="rId10" Type="http://schemas.openxmlformats.org/officeDocument/2006/relationships/image" Target="media/image17.jpg"/><Relationship Id="rId32" Type="http://schemas.openxmlformats.org/officeDocument/2006/relationships/header" Target="header1.xml"/><Relationship Id="rId13" Type="http://schemas.openxmlformats.org/officeDocument/2006/relationships/image" Target="media/image10.jpg"/><Relationship Id="rId12" Type="http://schemas.openxmlformats.org/officeDocument/2006/relationships/image" Target="media/image9.jpg"/><Relationship Id="rId34"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6.jpg"/><Relationship Id="rId17" Type="http://schemas.openxmlformats.org/officeDocument/2006/relationships/image" Target="media/image21.jpg"/><Relationship Id="rId16" Type="http://schemas.openxmlformats.org/officeDocument/2006/relationships/image" Target="media/image8.jpg"/><Relationship Id="rId19" Type="http://schemas.openxmlformats.org/officeDocument/2006/relationships/image" Target="media/image20.jpg"/><Relationship Id="rId1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