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4F6A3A"/>
          <w:sz w:val="17"/>
        </w:rPr>
        <w:t>DOCUMENTO DE PRODUCTO · PRD EDITABLE</w:t>
      </w:r>
    </w:p>
    <w:p>
      <w:pPr>
        <w:spacing w:after="120"/>
      </w:pPr>
      <w:r>
        <w:rPr>
          <w:rFonts w:ascii="Georgia" w:hAnsi="Georgia"/>
          <w:b/>
          <w:color w:val="2A2818"/>
          <w:sz w:val="60"/>
        </w:rPr>
        <w:t>Kombucha ERP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E6952"/>
          <w:sz w:val="22"/>
        </w:rPr>
        <w:t>Qué hace hoy el sistema, y un espacio al final de este documento para que agregues los requerimientos nuevos que te gustaría tener — escritos en un formato que Claude Code puede leer directamente para construirlos.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6E6952"/>
                <w:sz w:val="15"/>
              </w:rPr>
              <w:t>FECHA</w:t>
            </w:r>
          </w:p>
        </w:tc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6E6952"/>
                <w:sz w:val="15"/>
              </w:rPr>
              <w:t>ESTADO</w:t>
            </w:r>
          </w:p>
        </w:tc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6E6952"/>
                <w:sz w:val="15"/>
              </w:rPr>
              <w:t>BASE</w:t>
            </w:r>
          </w:p>
        </w:tc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6E6952"/>
                <w:sz w:val="15"/>
              </w:rPr>
              <w:t>FORMATO</w:t>
            </w:r>
          </w:p>
        </w:tc>
      </w:tr>
      <w:tr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color w:val="2A2818"/>
                <w:sz w:val="18"/>
              </w:rPr>
              <w:t>25 agosto 2026</w:t>
            </w:r>
          </w:p>
        </w:tc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color w:val="2A2818"/>
                <w:sz w:val="18"/>
              </w:rPr>
              <w:t>Sistema en producción</w:t>
            </w:r>
          </w:p>
        </w:tc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color w:val="2A2818"/>
                <w:sz w:val="18"/>
              </w:rPr>
              <w:t>Funcionalidad existente</w:t>
            </w:r>
          </w:p>
        </w:tc>
        <w:tc>
          <w:tcPr>
            <w:tcW w:type="dxa" w:w="235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color w:val="2A2818"/>
                <w:sz w:val="18"/>
              </w:rPr>
              <w:t>Word — editable</w:t>
            </w:r>
          </w:p>
        </w:tc>
      </w:tr>
    </w:tbl>
    <w:p>
      <w:pPr>
        <w:spacing w:before="40" w:after="200"/>
        <w:pBdr>
          <w:bottom w:val="single" w:sz="6" w:space="1" w:color="C9BB8D"/>
        </w:pBdr>
      </w:pPr>
    </w:p>
    <w:p>
      <w:pPr>
        <w:keepNext/>
        <w:spacing w:before="440" w:after="200"/>
      </w:pPr>
      <w:r>
        <w:rPr>
          <w:rFonts w:ascii="Consolas" w:hAnsi="Consolas"/>
          <w:b/>
          <w:color w:val="9C5A1C"/>
          <w:sz w:val="22"/>
        </w:rPr>
        <w:t xml:space="preserve">01   </w:t>
      </w:r>
      <w:r>
        <w:rPr>
          <w:rFonts w:ascii="Georgia" w:hAnsi="Georgia"/>
          <w:b/>
          <w:color w:val="2A2818"/>
          <w:sz w:val="34"/>
        </w:rPr>
        <w:t>Resumen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A2818"/>
          <w:sz w:val="21"/>
        </w:rPr>
        <w:t>Kombucha ERP es un sistema web simple para llevar el negocio de una productora artesanal de kombucha: qué sabores y botellas tiene en stock, qué se vende, qué pedidos llegan por Instagram u otros canales antes de convertirse en venta, y quién puede ver o tocar cada cosa. Corre hoy en producción con datos reales de ventas.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A2818"/>
          <w:sz w:val="21"/>
        </w:rPr>
        <w:t>Las secciones 1 a 4 describen lo que el sistema ya hace. La sección 5 te explica cómo escribir un requerimiento nuevo — un feature que falta o un cambio a algo existente — para que quede listo para que Claude Code lo construya. La sección 6 es la tabla donde lo escribes.</w:t>
      </w:r>
    </w:p>
    <w:p>
      <w:pPr>
        <w:keepNext/>
        <w:spacing w:before="440" w:after="200"/>
      </w:pPr>
      <w:r>
        <w:rPr>
          <w:rFonts w:ascii="Consolas" w:hAnsi="Consolas"/>
          <w:b/>
          <w:color w:val="9C5A1C"/>
          <w:sz w:val="22"/>
        </w:rPr>
        <w:t xml:space="preserve">02   </w:t>
      </w:r>
      <w:r>
        <w:rPr>
          <w:rFonts w:ascii="Georgia" w:hAnsi="Georgia"/>
          <w:b/>
          <w:color w:val="2A2818"/>
          <w:sz w:val="34"/>
        </w:rPr>
        <w:t>Para quién está pensado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A2818"/>
          <w:sz w:val="21"/>
        </w:rPr>
        <w:t>Un productor o equipo pequeño de bebidas fermentadas (kombucha u otro producto similar) que hoy maneja stock, ventas y pedidos de forma manual — planillas, WhatsApp, memoria — y quiere un solo lugar donde quede registrado todo, sin la complejidad de un ERP genérico de escritorio.</w:t>
      </w:r>
    </w:p>
    <w:p>
      <w:pPr>
        <w:keepNext/>
        <w:spacing w:before="440" w:after="200"/>
      </w:pPr>
      <w:r>
        <w:rPr>
          <w:rFonts w:ascii="Consolas" w:hAnsi="Consolas"/>
          <w:b/>
          <w:color w:val="9C5A1C"/>
          <w:sz w:val="22"/>
        </w:rPr>
        <w:t xml:space="preserve">03   </w:t>
      </w:r>
      <w:r>
        <w:rPr>
          <w:rFonts w:ascii="Georgia" w:hAnsi="Georgia"/>
          <w:b/>
          <w:color w:val="2A2818"/>
          <w:sz w:val="34"/>
        </w:rPr>
        <w:t>Módulos actuales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6E6952"/>
          <w:sz w:val="21"/>
        </w:rPr>
        <w:t>Siete módulos, ya construidos y en uso.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MOD-01 · INVENTARIO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Sabores, botellas y stock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Catálogo de sabores y productos, con el stock siempre bajo control.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Cada sabor puede tener varios productos (formatos): nombre, SKU único, tamaño en ml y precio.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b/>
                <w:color w:val="2A2818"/>
                <w:sz w:val="19"/>
              </w:rPr>
              <w:t>Nivel de reposición</w:t>
            </w:r>
            <w:r>
              <w:rPr>
                <w:rFonts w:ascii="Calibri" w:hAnsi="Calibri"/>
                <w:color w:val="2A2818"/>
                <w:sz w:val="19"/>
              </w:rPr>
              <w:t xml:space="preserve"> configurable por producto, con alerta de stock bajo visible en el dashboard.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Reposición manual de stock y ajustes de conteo, cada uno con nota opcional.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Historial completo de movimientos por producto: qué entró, qué salió y por qué (venta, reposición o ajuste).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El sistema nunca deja vender más de lo que hay disponible.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MOD-02 · VENTAS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Registro de ventas reales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Ventas multi-línea que descuentan stock automáticamente.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Una venta puede incluir varios productos en distintas cantidades.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Al completarse, el stock se descuenta solo — validado, sin sobreventa.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Número de factura y notas libres, opcionales, por venta.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IVA opcional por venta, calculado con la tasa configurada a nivel de empresa.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Estados: pendiente, completada o cancelada.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MOD-03 · OPORTUNIDADES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Pedidos y consultas antes de la venta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Para lo que llega antes de ser venta: una consulta por DM preguntando precio mayorista, por ejemplo.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Origen del contacto: DM de Instagram, sitio web, referido u otro.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Embudo con etapas: nuevo → contactado → cotizado → ganado / perdido.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Producto y cantidad solicitada, asociados a la oportunidad.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b/>
                <w:color w:val="2A2818"/>
                <w:sz w:val="19"/>
              </w:rPr>
              <w:t>Convertir a venta con un clic</w:t>
            </w:r>
            <w:r>
              <w:rPr>
                <w:rFonts w:ascii="Calibri" w:hAnsi="Calibri"/>
                <w:color w:val="2A2818"/>
                <w:sz w:val="19"/>
              </w:rPr>
              <w:t xml:space="preserve"> — genera la venta y descuenta stock automáticamente.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Las oportunidades abiertas aparecen listadas en el dashboard.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MOD-04 · CLIENTES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Ficha básica de cliente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Un registro simple, compartido entre ventas y oportunidades.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Nombre, email, teléfono, usuario de Instagram y notas libres.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No distingue hoy entre cliente final y mayorista.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MOD-05 · DASHBOARD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Métricas del negocio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Una vista de un vistazo, con filtro por año y mes.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Indicadores: productos activos, stock bajo, oportunidades abiertas, ingresos del mes, facturas emitidas, ticket promedio, ventas del año.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Gráficos: ventas por producto, ventas por mes, botellas vendidas por mes.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Listado directo de productos con stock bajo y últimas oportunidades abiertas.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MOD-06 · USUARIOS Y ROLES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Quién ve y quién edita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Tres niveles de acceso, aplicados tanto en el sistema como en pantalla.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b/>
                <w:color w:val="2A2818"/>
                <w:sz w:val="19"/>
              </w:rPr>
              <w:t>Administrador:</w:t>
            </w:r>
            <w:r>
              <w:rPr>
                <w:rFonts w:ascii="Calibri" w:hAnsi="Calibri"/>
                <w:color w:val="2A2818"/>
                <w:sz w:val="19"/>
              </w:rPr>
              <w:t xml:space="preserve"> acceso total, incluida la gestión de usuarios.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b/>
                <w:color w:val="2A2818"/>
                <w:sz w:val="19"/>
              </w:rPr>
              <w:t>Editor:</w:t>
            </w:r>
            <w:r>
              <w:rPr>
                <w:rFonts w:ascii="Calibri" w:hAnsi="Calibri"/>
                <w:color w:val="2A2818"/>
                <w:sz w:val="19"/>
              </w:rPr>
              <w:t xml:space="preserve"> crea y edita registros, sin gestión de usuarios.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b/>
                <w:color w:val="2A2818"/>
                <w:sz w:val="19"/>
              </w:rPr>
              <w:t>Lector:</w:t>
            </w:r>
            <w:r>
              <w:rPr>
                <w:rFonts w:ascii="Calibri" w:hAnsi="Calibri"/>
                <w:color w:val="2A2818"/>
                <w:sz w:val="19"/>
              </w:rPr>
              <w:t xml:space="preserve"> solo consulta — los botones de edición se ocultan.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Cada persona puede cambiar su propia contraseña.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7EC"/>
            <w:tcBorders>
              <w:top w:val="single" w:sz="6" w:space="0" w:color="DED2AE"/>
              <w:left w:val="single" w:sz="6" w:space="0" w:color="DED2AE"/>
              <w:bottom w:val="single" w:sz="6" w:space="0" w:color="DED2AE"/>
              <w:right w:val="single" w:sz="6" w:space="0" w:color="DED2AE"/>
            </w:tcBorders>
            <w:tcMar>
              <w:top w:w="180" w:type="dxa"/>
              <w:bottom w:w="200" w:type="dxa"/>
              <w:left w:w="220" w:type="dxa"/>
              <w:right w:w="220" w:type="dxa"/>
            </w:tcMar>
          </w:tcPr>
          <w:p>
            <w:pPr>
              <w:keepNext/>
              <w:spacing w:after="40"/>
            </w:pPr>
            <w:r>
              <w:rPr>
                <w:rFonts w:ascii="Consolas" w:hAnsi="Consolas"/>
                <w:b/>
                <w:color w:val="6E6952"/>
                <w:sz w:val="16"/>
              </w:rPr>
              <w:t>MOD-07 · EMPRESA</w:t>
            </w:r>
            <w:r>
              <w:tab/>
            </w:r>
            <w:r>
              <w:rPr>
                <w:rFonts w:ascii="Consolas" w:hAnsi="Consolas"/>
                <w:b/>
                <w:color w:val="4F6A3A"/>
                <w:sz w:val="15"/>
              </w:rPr>
              <w:t>EN PRODUCCIÓN</w:t>
            </w:r>
          </w:p>
          <w:p>
            <w:pPr>
              <w:keepNext/>
              <w:spacing w:after="60"/>
            </w:pPr>
            <w:r>
              <w:rPr>
                <w:rFonts w:ascii="Georgia" w:hAnsi="Georgia"/>
                <w:b/>
                <w:color w:val="2A2818"/>
                <w:sz w:val="25"/>
              </w:rPr>
              <w:t>Configuración general</w:t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color w:val="6E6952"/>
                <w:sz w:val="19"/>
              </w:rPr>
              <w:t>Ajustes válidos para toda la operación, no por usuario.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Tasa de IVA configurable (hoy: 19%) y si aplica por defecto en ventas nuevas.</w:t>
            </w:r>
          </w:p>
          <w:p>
            <w:pPr>
              <w:spacing w:after="80"/>
              <w:ind w:left="283"/>
            </w:pPr>
            <w:r>
              <w:rPr>
                <w:rFonts w:ascii="Calibri" w:hAnsi="Calibri"/>
                <w:b/>
                <w:color w:val="4F6A3A"/>
                <w:sz w:val="19"/>
              </w:rPr>
              <w:t xml:space="preserve">✓  </w:t>
            </w:r>
            <w:r>
              <w:rPr>
                <w:rFonts w:ascii="Calibri" w:hAnsi="Calibri"/>
                <w:color w:val="2A2818"/>
                <w:sz w:val="19"/>
              </w:rPr>
              <w:t>Idioma de toda la plataforma: español o inglés.</w:t>
            </w:r>
          </w:p>
        </w:tc>
      </w:tr>
    </w:tbl>
    <w:p>
      <w:pPr>
        <w:spacing w:after="40"/>
      </w:pPr>
    </w:p>
    <w:p>
      <w:pPr>
        <w:keepNext/>
        <w:spacing w:before="440" w:after="200"/>
      </w:pPr>
      <w:r>
        <w:rPr>
          <w:rFonts w:ascii="Consolas" w:hAnsi="Consolas"/>
          <w:b/>
          <w:color w:val="9C5A1C"/>
          <w:sz w:val="22"/>
        </w:rPr>
        <w:t xml:space="preserve">04   </w:t>
      </w:r>
      <w:r>
        <w:rPr>
          <w:rFonts w:ascii="Georgia" w:hAnsi="Georgia"/>
          <w:b/>
          <w:color w:val="2A2818"/>
          <w:sz w:val="34"/>
        </w:rPr>
        <w:t>Qué no incluye hoy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6E6952"/>
          <w:sz w:val="21"/>
        </w:rPr>
        <w:t>Para que la evaluación sea realista, esto es lo que el sistema deliberadamente no hace todavía: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Facturación electrónica: el número de factura es un campo de texto libre, no se timbra ni se envía a ningún organismo.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Cobro o pagos en línea — no hay pasarela de pago integrada.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Órdenes de compra a proveedores — la reposición de stock es manual, sin gestión de proveedores.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Múltiples bodegas o sucursales — el stock es uno solo, no por ubicación.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Notificaciones automáticas por email o WhatsApp — el stock bajo y las oportunidades se revisan a mano en el dashboard.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Tienda online o catálogo público para venta directa al cliente final.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App móvil nativa — es una aplicación web, funciona desde el navegador.</w:t>
      </w:r>
    </w:p>
    <w:p>
      <w:pPr>
        <w:spacing w:after="80"/>
        <w:ind w:left="283"/>
      </w:pPr>
      <w:r>
        <w:rPr>
          <w:rFonts w:ascii="Calibri" w:hAnsi="Calibri"/>
          <w:b/>
          <w:color w:val="8F3A26"/>
          <w:sz w:val="20"/>
        </w:rPr>
        <w:t xml:space="preserve">✕  </w:t>
      </w:r>
      <w:r>
        <w:rPr>
          <w:rFonts w:ascii="Calibri" w:hAnsi="Calibri"/>
          <w:color w:val="2A2818"/>
          <w:sz w:val="20"/>
        </w:rPr>
        <w:t>Una sola empresa por instalación — no está pensado para operar varias marcas desde un mismo sistema.</w:t>
      </w:r>
    </w:p>
    <w:p>
      <w:pPr>
        <w:keepNext/>
        <w:spacing w:before="440" w:after="200"/>
      </w:pPr>
      <w:r>
        <w:rPr>
          <w:rFonts w:ascii="Consolas" w:hAnsi="Consolas"/>
          <w:b/>
          <w:color w:val="9C5A1C"/>
          <w:sz w:val="22"/>
        </w:rPr>
        <w:t xml:space="preserve">05   </w:t>
      </w:r>
      <w:r>
        <w:rPr>
          <w:rFonts w:ascii="Georgia" w:hAnsi="Georgia"/>
          <w:b/>
          <w:color w:val="2A2818"/>
          <w:sz w:val="34"/>
        </w:rPr>
        <w:t>Cómo agregar un requerimiento nuevo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2A2818"/>
          <w:sz w:val="21"/>
        </w:rPr>
        <w:t>Esta sección es para ti si, al revisar los módulos de arriba, pensaste “me falta X” o “esto lo necesito distinto”. Escribe cada idea siguiendo este formato en la tabla de la página siguiente — así queda en un lenguaje que Claude Code puede leer y convertir directamente en trabajo, sin ida y vuelta para aclarar qué quisiste decir.</w:t>
      </w:r>
    </w:p>
    <w:p>
      <w:pPr>
        <w:keepNext/>
        <w:spacing w:before="80" w:after="40"/>
      </w:pPr>
      <w:r>
        <w:rPr>
          <w:rFonts w:ascii="Georgia" w:hAnsi="Georgia"/>
          <w:b/>
          <w:color w:val="2A2818"/>
          <w:sz w:val="25"/>
        </w:rPr>
        <w:t>Los campos de cada requerimiento</w:t>
      </w:r>
    </w:p>
    <w:p>
      <w:pPr>
        <w:spacing w:after="80"/>
        <w:ind w:left="283"/>
      </w:pPr>
      <w:r>
        <w:rPr>
          <w:rFonts w:ascii="Calibri" w:hAnsi="Calibri"/>
          <w:b/>
          <w:color w:val="9C5A1C"/>
          <w:sz w:val="20"/>
        </w:rPr>
        <w:t xml:space="preserve">→  </w:t>
      </w:r>
      <w:r>
        <w:rPr>
          <w:rFonts w:ascii="Calibri" w:hAnsi="Calibri"/>
          <w:b/>
          <w:color w:val="2A2818"/>
          <w:sz w:val="20"/>
        </w:rPr>
        <w:t>Título:</w:t>
      </w:r>
      <w:r>
        <w:rPr>
          <w:rFonts w:ascii="Calibri" w:hAnsi="Calibri"/>
          <w:color w:val="2A2818"/>
          <w:sz w:val="20"/>
        </w:rPr>
        <w:t xml:space="preserve"> Un nombre corto para identificarlo (3 a 6 palabras).</w:t>
      </w:r>
    </w:p>
    <w:p>
      <w:pPr>
        <w:spacing w:after="80"/>
        <w:ind w:left="283"/>
      </w:pPr>
      <w:r>
        <w:rPr>
          <w:rFonts w:ascii="Calibri" w:hAnsi="Calibri"/>
          <w:b/>
          <w:color w:val="9C5A1C"/>
          <w:sz w:val="20"/>
        </w:rPr>
        <w:t xml:space="preserve">→  </w:t>
      </w:r>
      <w:r>
        <w:rPr>
          <w:rFonts w:ascii="Calibri" w:hAnsi="Calibri"/>
          <w:b/>
          <w:color w:val="2A2818"/>
          <w:sz w:val="20"/>
        </w:rPr>
        <w:t>Historia de usuario:</w:t>
      </w:r>
      <w:r>
        <w:rPr>
          <w:rFonts w:ascii="Calibri" w:hAnsi="Calibri"/>
          <w:color w:val="2A2818"/>
          <w:sz w:val="20"/>
        </w:rPr>
        <w:t xml:space="preserve"> “Como [rol], quiero [qué], para [por qué]”. El “para qué” es el más importante: le dice a Claude Code el objetivo real, no solo el mecanismo, y a veces existe una forma más simple de lograrlo.</w:t>
      </w:r>
    </w:p>
    <w:p>
      <w:pPr>
        <w:spacing w:after="80"/>
        <w:ind w:left="283"/>
      </w:pPr>
      <w:r>
        <w:rPr>
          <w:rFonts w:ascii="Calibri" w:hAnsi="Calibri"/>
          <w:b/>
          <w:color w:val="9C5A1C"/>
          <w:sz w:val="20"/>
        </w:rPr>
        <w:t xml:space="preserve">→  </w:t>
      </w:r>
      <w:r>
        <w:rPr>
          <w:rFonts w:ascii="Calibri" w:hAnsi="Calibri"/>
          <w:b/>
          <w:color w:val="2A2818"/>
          <w:sz w:val="20"/>
        </w:rPr>
        <w:t>Módulo:</w:t>
      </w:r>
      <w:r>
        <w:rPr>
          <w:rFonts w:ascii="Calibri" w:hAnsi="Calibri"/>
          <w:color w:val="2A2818"/>
          <w:sz w:val="20"/>
        </w:rPr>
        <w:t xml:space="preserve"> Usa las etiquetas MOD-01 a MOD-07 de este documento, o escribe “nuevo módulo” si no calza en ninguno de los existentes.</w:t>
      </w:r>
    </w:p>
    <w:p>
      <w:pPr>
        <w:spacing w:after="80"/>
        <w:ind w:left="283"/>
      </w:pPr>
      <w:r>
        <w:rPr>
          <w:rFonts w:ascii="Calibri" w:hAnsi="Calibri"/>
          <w:b/>
          <w:color w:val="9C5A1C"/>
          <w:sz w:val="20"/>
        </w:rPr>
        <w:t xml:space="preserve">→  </w:t>
      </w:r>
      <w:r>
        <w:rPr>
          <w:rFonts w:ascii="Calibri" w:hAnsi="Calibri"/>
          <w:b/>
          <w:color w:val="2A2818"/>
          <w:sz w:val="20"/>
        </w:rPr>
        <w:t>Prioridad:</w:t>
      </w:r>
      <w:r>
        <w:rPr>
          <w:rFonts w:ascii="Calibri" w:hAnsi="Calibri"/>
          <w:color w:val="2A2818"/>
          <w:sz w:val="20"/>
        </w:rPr>
        <w:t xml:space="preserve"> Alta, Media o Baja — ayuda a decidir qué se construye primero.</w:t>
      </w:r>
    </w:p>
    <w:p>
      <w:pPr>
        <w:spacing w:after="80"/>
        <w:ind w:left="283"/>
      </w:pPr>
      <w:r>
        <w:rPr>
          <w:rFonts w:ascii="Calibri" w:hAnsi="Calibri"/>
          <w:b/>
          <w:color w:val="9C5A1C"/>
          <w:sz w:val="20"/>
        </w:rPr>
        <w:t xml:space="preserve">→  </w:t>
      </w:r>
      <w:r>
        <w:rPr>
          <w:rFonts w:ascii="Calibri" w:hAnsi="Calibri"/>
          <w:b/>
          <w:color w:val="2A2818"/>
          <w:sz w:val="20"/>
        </w:rPr>
        <w:t>Criterios de aceptación:</w:t>
      </w:r>
      <w:r>
        <w:rPr>
          <w:rFonts w:ascii="Calibri" w:hAnsi="Calibri"/>
          <w:color w:val="2A2818"/>
          <w:sz w:val="20"/>
        </w:rPr>
        <w:t xml:space="preserve"> La parte más importante. Lista corta y verificable de “dado esto, cuando pase esto, entonces debería pasar esto otro”. Evita frases vagas como “que funcione bien” o “que sea intuitivo”: describe el comportamiento paso a paso, incluidos los casos borde (¿qué pasa si el campo queda vacío? ¿si el stock es cero?).</w:t>
      </w:r>
    </w:p>
    <w:p>
      <w:pPr>
        <w:spacing w:after="80"/>
        <w:ind w:left="283"/>
      </w:pPr>
      <w:r>
        <w:rPr>
          <w:rFonts w:ascii="Calibri" w:hAnsi="Calibri"/>
          <w:b/>
          <w:color w:val="9C5A1C"/>
          <w:sz w:val="20"/>
        </w:rPr>
        <w:t xml:space="preserve">→  </w:t>
      </w:r>
      <w:r>
        <w:rPr>
          <w:rFonts w:ascii="Calibri" w:hAnsi="Calibri"/>
          <w:b/>
          <w:color w:val="2A2818"/>
          <w:sz w:val="20"/>
        </w:rPr>
        <w:t>Notas:</w:t>
      </w:r>
      <w:r>
        <w:rPr>
          <w:rFonts w:ascii="Calibri" w:hAnsi="Calibri"/>
          <w:color w:val="2A2818"/>
          <w:sz w:val="20"/>
        </w:rPr>
        <w:t xml:space="preserve"> Datos concretos si los tienes: nombre y tipo de un campo nuevo, si es obligatorio, ejemplos reales, capturas de pantalla de otro sistema, etc.</w:t>
      </w:r>
    </w:p>
    <w:p>
      <w:pPr>
        <w:keepNext/>
        <w:spacing w:before="80" w:after="40"/>
      </w:pPr>
      <w:r>
        <w:rPr>
          <w:rFonts w:ascii="Georgia" w:hAnsi="Georgia"/>
          <w:b/>
          <w:color w:val="2A2818"/>
          <w:sz w:val="25"/>
        </w:rPr>
        <w:t>Dos reglas simples</w:t>
      </w:r>
    </w:p>
    <w:p>
      <w:pPr>
        <w:spacing w:after="80"/>
        <w:ind w:left="283"/>
      </w:pPr>
      <w:r>
        <w:rPr>
          <w:rFonts w:ascii="Calibri" w:hAnsi="Calibri"/>
          <w:b/>
          <w:color w:val="6E6952"/>
          <w:sz w:val="20"/>
        </w:rPr>
        <w:t xml:space="preserve">•  </w:t>
      </w:r>
      <w:r>
        <w:rPr>
          <w:rFonts w:ascii="Calibri" w:hAnsi="Calibri"/>
          <w:color w:val="2A2818"/>
          <w:sz w:val="20"/>
        </w:rPr>
        <w:t>Un requerimiento por fila. Si una idea tiene varias partes independientes, sepáralas en varias filas — es más fácil de construir y de revisar.</w:t>
      </w:r>
    </w:p>
    <w:p>
      <w:pPr>
        <w:spacing w:after="80"/>
        <w:ind w:left="283"/>
      </w:pPr>
      <w:r>
        <w:rPr>
          <w:rFonts w:ascii="Calibri" w:hAnsi="Calibri"/>
          <w:b/>
          <w:color w:val="6E6952"/>
          <w:sz w:val="20"/>
        </w:rPr>
        <w:t xml:space="preserve">•  </w:t>
      </w:r>
      <w:r>
        <w:rPr>
          <w:rFonts w:ascii="Calibri" w:hAnsi="Calibri"/>
          <w:color w:val="2A2818"/>
          <w:sz w:val="20"/>
        </w:rPr>
        <w:t>Sé específico, no aspiracional. “Sería bueno que algún día se pudiera...” no es accionable; “cuando el stock llega a 0, bloquear el botón de vender” sí lo es.</w:t>
      </w:r>
    </w:p>
    <w:p>
      <w:pPr>
        <w:keepNext/>
        <w:spacing w:before="80" w:after="40"/>
      </w:pPr>
      <w:r>
        <w:rPr>
          <w:rFonts w:ascii="Georgia" w:hAnsi="Georgia"/>
          <w:b/>
          <w:color w:val="2A2818"/>
          <w:sz w:val="25"/>
        </w:rPr>
        <w:t>Ejemplo ya completado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6E6952"/>
          <w:sz w:val="21"/>
        </w:rPr>
        <w:t>La primera fila de la tabla en la página siguiente muestra un requerimiento real, completado como modelo — puedes copiar su estructura para los tuyos.</w:t>
      </w:r>
    </w:p>
    <w:p>
      <w:pPr>
        <w:sectPr>
          <w:footerReference w:type="default" r:id="rId9"/>
          <w:pgSz w:w="11906" w:h="16838"/>
          <w:pgMar w:top="1020" w:right="1247" w:bottom="1020" w:left="1247" w:header="720" w:footer="720" w:gutter="0"/>
          <w:cols w:space="720"/>
          <w:docGrid w:linePitch="360"/>
        </w:sectPr>
      </w:pPr>
    </w:p>
    <w:p>
      <w:pPr>
        <w:keepNext/>
        <w:spacing w:before="440" w:after="200"/>
      </w:pPr>
      <w:r>
        <w:rPr>
          <w:rFonts w:ascii="Consolas" w:hAnsi="Consolas"/>
          <w:b/>
          <w:color w:val="9C5A1C"/>
          <w:sz w:val="22"/>
        </w:rPr>
        <w:t xml:space="preserve">06   </w:t>
      </w:r>
      <w:r>
        <w:rPr>
          <w:rFonts w:ascii="Georgia" w:hAnsi="Georgia"/>
          <w:b/>
          <w:color w:val="2A2818"/>
          <w:sz w:val="34"/>
        </w:rPr>
        <w:t>Tus requerimientos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E6952"/>
          <w:sz w:val="21"/>
        </w:rPr>
        <w:t>Completa una fila por requerimiento. La primera fila (sombreada) es el ejemplo de la sección anterior — bórrala cuando termines, o déjala como referencia.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792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6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Título</w:t>
            </w:r>
          </w:p>
        </w:tc>
        <w:tc>
          <w:tcPr>
            <w:tcW w:type="dxa" w:w="3888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Historia de usuario (Como / Quiero / Para)</w:t>
            </w:r>
          </w:p>
        </w:tc>
        <w:tc>
          <w:tcPr>
            <w:tcW w:type="dxa" w:w="1512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1080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600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Criterios de aceptación</w:t>
            </w:r>
          </w:p>
        </w:tc>
        <w:tc>
          <w:tcPr>
            <w:tcW w:type="dxa" w:w="2016"/>
            <w:shd w:val="clear" w:color="auto" w:fill="4F6A3A"/>
            <w:tcBorders>
              <w:top w:val="single" w:sz="6" w:space="0" w:color="C9BB8D"/>
              <w:left w:val="single" w:sz="6" w:space="0" w:color="C9BB8D"/>
              <w:bottom w:val="single" w:sz="6" w:space="0" w:color="C9BB8D"/>
              <w:right w:val="single" w:sz="6" w:space="0" w:color="C9BB8D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REQ-00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2A2818"/>
                <w:sz w:val="17"/>
              </w:rPr>
              <w:t>Fecha de vencimiento por lote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2A2818"/>
                <w:sz w:val="17"/>
              </w:rPr>
              <w:t>Como dueña de la producción, quiero registrar la fecha de vencimiento de cada lote embotellado, para poder priorizar la venta de lo más antiguo y evitar pérdidas.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MOD-01 · Inventario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Alta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2A2818"/>
                <w:sz w:val="17"/>
              </w:rPr>
              <w:t>1) Al reponer stock se puede indicar una fecha de vencimiento opcional para ese lote. 2) El dashboard muestra alerta cuando un lote vence en &lt;7 días. 3) Si no se indica fecha, el producto funciona igual que hoy.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  <w:shd w:val="clear" w:color="auto" w:fill="F1E2C9"/>
          </w:tcPr>
          <w:p>
            <w:pPr>
              <w:spacing w:after="0"/>
            </w:pPr>
            <w:r>
              <w:rPr>
                <w:rFonts w:ascii="Calibri" w:hAnsi="Calibri"/>
                <w:i/>
                <w:color w:val="2A2818"/>
                <w:sz w:val="17"/>
              </w:rPr>
              <w:t>Hoy el inventario no diferencia por lote, solo por producto — puede requerir cambio de modelo de datos.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REQ-01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REQ-02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REQ-03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REQ-04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REQ-05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REQ-06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REQ-07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  <w:t>REQ-08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888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512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08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3600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2016"/>
            <w:tcBorders>
              <w:top w:val="single" w:sz="4" w:space="0" w:color="DED2AE"/>
              <w:left w:val="single" w:sz="4" w:space="0" w:color="DED2AE"/>
              <w:bottom w:val="single" w:sz="4" w:space="0" w:color="DED2AE"/>
              <w:right w:val="single" w:sz="4" w:space="0" w:color="DED2AE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2A2818"/>
                <w:sz w:val="17"/>
              </w:rPr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</w:tr>
    </w:tbl>
    <w:p>
      <w:pPr>
        <w:spacing w:before="160" w:after="120"/>
      </w:pPr>
      <w:r>
        <w:rPr>
          <w:rFonts w:ascii="Calibri" w:hAnsi="Calibri"/>
          <w:b w:val="0"/>
          <w:i w:val="0"/>
          <w:color w:val="6E6952"/>
          <w:sz w:val="18"/>
        </w:rPr>
        <w:t>¿Más de 8 requerimientos? Copia la última fila las veces que necesites.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onsolas" w:hAnsi="Consolas"/>
        <w:color w:val="6E6952"/>
        <w:sz w:val="15"/>
      </w:rPr>
      <w:t>Kombucha ERP — Documento de producto · para completar y devolver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A28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