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3779" w:rsidRPr="00353779" w:rsidRDefault="00CE56AC" w:rsidP="00353779">
      <w:pPr>
        <w:jc w:val="center"/>
        <w:rPr>
          <w:b/>
          <w:sz w:val="28"/>
          <w:szCs w:val="28"/>
        </w:rPr>
      </w:pPr>
      <w:r w:rsidRPr="00353779">
        <w:rPr>
          <w:b/>
          <w:sz w:val="28"/>
          <w:szCs w:val="28"/>
        </w:rPr>
        <w:t xml:space="preserve">Cuestionario sobre Práctica </w:t>
      </w:r>
      <w:r w:rsidR="00966E04">
        <w:rPr>
          <w:b/>
          <w:sz w:val="28"/>
          <w:szCs w:val="28"/>
        </w:rPr>
        <w:t>3</w:t>
      </w:r>
    </w:p>
    <w:p w:rsidR="00353779" w:rsidRPr="00A673CA" w:rsidRDefault="00CE56AC" w:rsidP="00A673CA">
      <w:pPr>
        <w:jc w:val="center"/>
        <w:rPr>
          <w:b/>
          <w:sz w:val="28"/>
          <w:szCs w:val="28"/>
        </w:rPr>
      </w:pPr>
      <w:r w:rsidRPr="00353779">
        <w:rPr>
          <w:b/>
          <w:sz w:val="28"/>
          <w:szCs w:val="28"/>
        </w:rPr>
        <w:t>Informática Industrial</w:t>
      </w:r>
    </w:p>
    <w:p w:rsidR="00804C09" w:rsidRPr="00BE7084" w:rsidRDefault="00143455" w:rsidP="00CE56AC">
      <w:pPr>
        <w:jc w:val="both"/>
        <w:rPr>
          <w:u w:val="single"/>
        </w:rPr>
      </w:pPr>
      <w:r w:rsidRPr="00BE7084">
        <w:rPr>
          <w:u w:val="single"/>
        </w:rPr>
        <w:t>Nombre:</w:t>
      </w:r>
      <w:r w:rsidR="00BE7084" w:rsidRPr="00BE7084">
        <w:rPr>
          <w:u w:val="single"/>
        </w:rPr>
        <w:t xml:space="preserve"> Emmanuel Montero  Díez</w:t>
      </w:r>
    </w:p>
    <w:p w:rsidR="00804C09" w:rsidRDefault="00CE56AC" w:rsidP="00CE56AC">
      <w:pPr>
        <w:jc w:val="both"/>
      </w:pPr>
      <w:r w:rsidRPr="00CE56AC">
        <w:t>Este cuestionario se puede rel</w:t>
      </w:r>
      <w:r w:rsidR="00353779">
        <w:t>lenar al término de la práctica</w:t>
      </w:r>
      <w:r w:rsidRPr="00CE56AC">
        <w:t xml:space="preserve"> para que ésta pueda ser evaluada. </w:t>
      </w:r>
      <w:r w:rsidRPr="00353779">
        <w:rPr>
          <w:b/>
        </w:rPr>
        <w:t>No es obligatoria la entrega del mismo para la superación de las prácticas dado que ésta</w:t>
      </w:r>
      <w:r w:rsidR="00353779" w:rsidRPr="00353779">
        <w:rPr>
          <w:b/>
        </w:rPr>
        <w:t>s se evalúan mediante un examen</w:t>
      </w:r>
      <w:r w:rsidR="00020702">
        <w:rPr>
          <w:b/>
        </w:rPr>
        <w:t xml:space="preserve">, aunque la asistencia </w:t>
      </w:r>
      <w:r w:rsidR="00D379DE">
        <w:rPr>
          <w:b/>
        </w:rPr>
        <w:t>a  las prácticas</w:t>
      </w:r>
      <w:r w:rsidR="00E0266B">
        <w:rPr>
          <w:b/>
        </w:rPr>
        <w:t xml:space="preserve"> (se tomará nota), además de </w:t>
      </w:r>
      <w:r w:rsidR="00D379DE">
        <w:rPr>
          <w:b/>
        </w:rPr>
        <w:t xml:space="preserve">la entrega del código de las </w:t>
      </w:r>
      <w:r w:rsidR="00020702">
        <w:rPr>
          <w:b/>
        </w:rPr>
        <w:t xml:space="preserve">prácticas </w:t>
      </w:r>
      <w:r w:rsidR="00D379DE">
        <w:rPr>
          <w:b/>
        </w:rPr>
        <w:t xml:space="preserve">(cuando proceda) </w:t>
      </w:r>
      <w:r w:rsidR="00020702">
        <w:rPr>
          <w:b/>
        </w:rPr>
        <w:t xml:space="preserve">y cuestionarios </w:t>
      </w:r>
      <w:r w:rsidR="005A3D59">
        <w:rPr>
          <w:b/>
        </w:rPr>
        <w:t>aporta</w:t>
      </w:r>
      <w:r w:rsidR="00020702">
        <w:rPr>
          <w:b/>
        </w:rPr>
        <w:t xml:space="preserve"> un 15% de la nota</w:t>
      </w:r>
      <w:r w:rsidR="005A3D59">
        <w:rPr>
          <w:b/>
        </w:rPr>
        <w:t xml:space="preserve"> final</w:t>
      </w:r>
      <w:r w:rsidRPr="00CE56AC">
        <w:t xml:space="preserve">. </w:t>
      </w:r>
      <w:r w:rsidR="00D4080F">
        <w:t>Además, l</w:t>
      </w:r>
      <w:r w:rsidRPr="00CE56AC">
        <w:t>a realización de las mismas así como los cuestionarios ayudan al alumno a estudi</w:t>
      </w:r>
      <w:r w:rsidR="00353779">
        <w:t>ar</w:t>
      </w:r>
      <w:r w:rsidRPr="00CE56AC">
        <w:t xml:space="preserve"> para el examen de prácticas. </w:t>
      </w:r>
      <w:r w:rsidR="00154959">
        <w:rPr>
          <w:b/>
        </w:rPr>
        <w:t>La realización y entrega de estos materiales d</w:t>
      </w:r>
      <w:r w:rsidRPr="00353779">
        <w:rPr>
          <w:b/>
        </w:rPr>
        <w:t xml:space="preserve">ebe ser realizado por </w:t>
      </w:r>
      <w:r w:rsidR="005A3D59">
        <w:rPr>
          <w:b/>
        </w:rPr>
        <w:t>un</w:t>
      </w:r>
      <w:r w:rsidRPr="00353779">
        <w:rPr>
          <w:b/>
        </w:rPr>
        <w:t xml:space="preserve"> alumno en solitario</w:t>
      </w:r>
      <w:r w:rsidRPr="00CE56AC">
        <w:t xml:space="preserve">. </w:t>
      </w:r>
      <w:r w:rsidRPr="00353779">
        <w:rPr>
          <w:b/>
        </w:rPr>
        <w:t xml:space="preserve">La </w:t>
      </w:r>
      <w:r w:rsidR="00353779" w:rsidRPr="00353779">
        <w:rPr>
          <w:b/>
        </w:rPr>
        <w:t xml:space="preserve">copia parcial o total </w:t>
      </w:r>
      <w:r w:rsidRPr="00353779">
        <w:rPr>
          <w:b/>
        </w:rPr>
        <w:t xml:space="preserve">de </w:t>
      </w:r>
      <w:r w:rsidR="00DF76BF">
        <w:rPr>
          <w:b/>
        </w:rPr>
        <w:t xml:space="preserve">prácticas y/o </w:t>
      </w:r>
      <w:r w:rsidRPr="00353779">
        <w:rPr>
          <w:b/>
        </w:rPr>
        <w:t>cuestionario</w:t>
      </w:r>
      <w:r w:rsidR="00DF76BF">
        <w:rPr>
          <w:b/>
        </w:rPr>
        <w:t>s</w:t>
      </w:r>
      <w:r w:rsidRPr="00353779">
        <w:rPr>
          <w:b/>
        </w:rPr>
        <w:t xml:space="preserve"> supondrá la evaluación de </w:t>
      </w:r>
      <w:r w:rsidR="00353779" w:rsidRPr="00353779">
        <w:rPr>
          <w:b/>
        </w:rPr>
        <w:t>0.0</w:t>
      </w:r>
      <w:r w:rsidRPr="00353779">
        <w:rPr>
          <w:b/>
        </w:rPr>
        <w:t xml:space="preserve"> en la </w:t>
      </w:r>
      <w:r w:rsidR="00353779" w:rsidRPr="00353779">
        <w:rPr>
          <w:b/>
        </w:rPr>
        <w:t xml:space="preserve">toda la </w:t>
      </w:r>
      <w:r w:rsidRPr="00353779">
        <w:rPr>
          <w:b/>
        </w:rPr>
        <w:t>asignatura en dicha convocatoria</w:t>
      </w:r>
      <w:r w:rsidRPr="00CE56AC">
        <w:t>.</w:t>
      </w:r>
    </w:p>
    <w:p w:rsidR="00A673CA" w:rsidRPr="00A673CA" w:rsidRDefault="00A673CA" w:rsidP="00CE56AC">
      <w:pPr>
        <w:jc w:val="both"/>
        <w:rPr>
          <w:b/>
          <w:u w:val="single"/>
        </w:rPr>
      </w:pPr>
      <w:r w:rsidRPr="00A673CA">
        <w:rPr>
          <w:b/>
          <w:u w:val="single"/>
        </w:rPr>
        <w:t>Cuestiones:</w:t>
      </w:r>
    </w:p>
    <w:p w:rsidR="00E63C48" w:rsidRDefault="00A673CA" w:rsidP="00CE56AC">
      <w:pPr>
        <w:jc w:val="both"/>
      </w:pPr>
      <w:r w:rsidRPr="00404C2F">
        <w:rPr>
          <w:b/>
        </w:rPr>
        <w:t xml:space="preserve">1.- </w:t>
      </w:r>
      <w:r w:rsidR="00A7532C" w:rsidRPr="00404C2F">
        <w:rPr>
          <w:b/>
        </w:rPr>
        <w:t xml:space="preserve">(Nº máximo de líneas </w:t>
      </w:r>
      <w:r w:rsidR="000F1B7B">
        <w:rPr>
          <w:b/>
        </w:rPr>
        <w:t>6</w:t>
      </w:r>
      <w:r w:rsidR="00A7532C" w:rsidRPr="00404C2F">
        <w:rPr>
          <w:b/>
        </w:rPr>
        <w:t>)</w:t>
      </w:r>
      <w:r w:rsidR="00A7532C">
        <w:t xml:space="preserve"> </w:t>
      </w:r>
      <w:r w:rsidR="009502D3">
        <w:t xml:space="preserve">Explica brevemente </w:t>
      </w:r>
      <w:r w:rsidR="00966E04">
        <w:t xml:space="preserve">el </w:t>
      </w:r>
      <w:r w:rsidR="00411694" w:rsidRPr="00CD0497">
        <w:rPr>
          <w:b/>
        </w:rPr>
        <w:t xml:space="preserve">montaje y </w:t>
      </w:r>
      <w:r w:rsidR="00966E04" w:rsidRPr="00CD0497">
        <w:rPr>
          <w:b/>
        </w:rPr>
        <w:t>funcionamiento</w:t>
      </w:r>
      <w:r w:rsidR="00966E04">
        <w:t xml:space="preserve"> de la</w:t>
      </w:r>
      <w:r w:rsidR="007C704A">
        <w:t xml:space="preserve"> segunda</w:t>
      </w:r>
      <w:r w:rsidR="00966E04">
        <w:t xml:space="preserve"> modificación del programa </w:t>
      </w:r>
      <w:r w:rsidR="00966E04" w:rsidRPr="007C704A">
        <w:rPr>
          <w:i/>
        </w:rPr>
        <w:t>Blink</w:t>
      </w:r>
      <w:r w:rsidR="00966E04">
        <w:t xml:space="preserve"> presentado en la página </w:t>
      </w:r>
      <w:r w:rsidR="007C704A">
        <w:t>4 (Sección 3.2.2)</w:t>
      </w:r>
      <w:r w:rsidR="00966E04">
        <w:t>.</w:t>
      </w:r>
    </w:p>
    <w:tbl>
      <w:tblPr>
        <w:tblStyle w:val="Tablaconcuadrcula"/>
        <w:tblW w:w="0" w:type="auto"/>
        <w:tblLook w:val="04A0" w:firstRow="1" w:lastRow="0" w:firstColumn="1" w:lastColumn="0" w:noHBand="0" w:noVBand="1"/>
      </w:tblPr>
      <w:tblGrid>
        <w:gridCol w:w="8494"/>
      </w:tblGrid>
      <w:tr w:rsidR="00A7532C" w:rsidRPr="00E63C48" w:rsidTr="00684CD2">
        <w:trPr>
          <w:trHeight w:val="1134"/>
        </w:trPr>
        <w:tc>
          <w:tcPr>
            <w:tcW w:w="8494" w:type="dxa"/>
            <w:noWrap/>
          </w:tcPr>
          <w:p w:rsidR="00A7532C" w:rsidRPr="00E63C48" w:rsidRDefault="00E7104C" w:rsidP="00A673CA">
            <w:pPr>
              <w:jc w:val="both"/>
            </w:pPr>
            <w:r>
              <w:t xml:space="preserve">Para empezar, necesitamos un led , una placa nodeMCU , una protoboard y una resistencia de 220 ohm. Definimos en que pin vamos a conectar el led, el ánodo al pin digital a través de la resistencia y el cátodo a gnd. El funcionamiento es básico , al ser un led externo se enciende en HIGH y se apaga en LOW ,enciende el led 1 sec de ahí el delay de 1000 y se </w:t>
            </w:r>
            <w:r w:rsidR="00F141C4">
              <w:t>apaga 3</w:t>
            </w:r>
            <w:r>
              <w:t xml:space="preserve"> sec de ahí el delay de 3000. Utilizamos </w:t>
            </w:r>
            <w:r w:rsidR="00F141C4">
              <w:t>la función digitalWrite para encender y apagar el led.</w:t>
            </w:r>
          </w:p>
        </w:tc>
      </w:tr>
    </w:tbl>
    <w:p w:rsidR="00A673CA" w:rsidRPr="00E63C48" w:rsidRDefault="00A673CA" w:rsidP="00A673CA">
      <w:pPr>
        <w:jc w:val="both"/>
      </w:pPr>
    </w:p>
    <w:p w:rsidR="00E63C48" w:rsidRDefault="00A7532C" w:rsidP="00E63C48">
      <w:pPr>
        <w:jc w:val="both"/>
      </w:pPr>
      <w:r w:rsidRPr="00BA2EB9">
        <w:rPr>
          <w:b/>
        </w:rPr>
        <w:t xml:space="preserve">2.- (Nº máximo de líneas </w:t>
      </w:r>
      <w:r w:rsidR="00DA17C4">
        <w:rPr>
          <w:b/>
        </w:rPr>
        <w:t>6</w:t>
      </w:r>
      <w:r w:rsidRPr="00BA2EB9">
        <w:rPr>
          <w:b/>
        </w:rPr>
        <w:t>)</w:t>
      </w:r>
      <w:r>
        <w:t xml:space="preserve"> </w:t>
      </w:r>
      <w:r w:rsidR="009E6507">
        <w:t xml:space="preserve">Explica brevemente </w:t>
      </w:r>
      <w:r w:rsidR="00DD6CF6">
        <w:t xml:space="preserve">la diferencia de funcionamiento de las funciones </w:t>
      </w:r>
      <w:r w:rsidR="00DD6CF6" w:rsidRPr="00DD6CF6">
        <w:rPr>
          <w:i/>
        </w:rPr>
        <w:t>digitalWrite()</w:t>
      </w:r>
      <w:r w:rsidR="00DD6CF6">
        <w:t xml:space="preserve"> y </w:t>
      </w:r>
      <w:r w:rsidR="00DD6CF6" w:rsidRPr="00DD6CF6">
        <w:rPr>
          <w:i/>
        </w:rPr>
        <w:t>analogWrite()</w:t>
      </w:r>
      <w:r w:rsidR="00DD6CF6">
        <w:t xml:space="preserve"> </w:t>
      </w:r>
      <w:r w:rsidR="00F66938">
        <w:t>.</w:t>
      </w:r>
    </w:p>
    <w:tbl>
      <w:tblPr>
        <w:tblStyle w:val="Tablaconcuadrcula"/>
        <w:tblW w:w="0" w:type="auto"/>
        <w:tblLook w:val="04A0" w:firstRow="1" w:lastRow="0" w:firstColumn="1" w:lastColumn="0" w:noHBand="0" w:noVBand="1"/>
      </w:tblPr>
      <w:tblGrid>
        <w:gridCol w:w="8494"/>
      </w:tblGrid>
      <w:tr w:rsidR="00E63C48" w:rsidRPr="00E63C48" w:rsidTr="00684CD2">
        <w:trPr>
          <w:trHeight w:val="1134"/>
        </w:trPr>
        <w:tc>
          <w:tcPr>
            <w:tcW w:w="8494" w:type="dxa"/>
            <w:noWrap/>
          </w:tcPr>
          <w:p w:rsidR="00E63C48" w:rsidRPr="00E63C48" w:rsidRDefault="00F141C4" w:rsidP="00A16FE5">
            <w:pPr>
              <w:jc w:val="both"/>
            </w:pPr>
            <w:r>
              <w:t>La diferencia de las funciones es que</w:t>
            </w:r>
            <w:r w:rsidR="00E421BC">
              <w:t xml:space="preserve"> </w:t>
            </w:r>
            <w:r>
              <w:t>analogWrite() utiliza la modulación por ancho de pulso (PWM) para crear un efecto de atenuación, para ello, varía el valor de salida de un pin digital desde su valor más bajo (0) hasta su valor más alto (255) y luego a la inversa.</w:t>
            </w:r>
            <w:r w:rsidR="00E421BC">
              <w:t xml:space="preserve"> En </w:t>
            </w:r>
            <w:r w:rsidR="000B7623">
              <w:t>cambio,</w:t>
            </w:r>
            <w:r w:rsidR="00E421BC">
              <w:t xml:space="preserve"> </w:t>
            </w:r>
            <w:proofErr w:type="spellStart"/>
            <w:r w:rsidR="00E421BC">
              <w:t>digitalwrite</w:t>
            </w:r>
            <w:proofErr w:type="spellEnd"/>
            <w:r w:rsidR="00E421BC">
              <w:t xml:space="preserve">() va directamente al valor más alto y al más bajo. </w:t>
            </w:r>
          </w:p>
        </w:tc>
      </w:tr>
    </w:tbl>
    <w:p w:rsidR="00E63C48" w:rsidRPr="00E63C48" w:rsidRDefault="00E63C48" w:rsidP="00E63C48">
      <w:pPr>
        <w:jc w:val="both"/>
      </w:pPr>
    </w:p>
    <w:p w:rsidR="00E63C48" w:rsidRDefault="00A7532C" w:rsidP="00E63C48">
      <w:pPr>
        <w:jc w:val="both"/>
      </w:pPr>
      <w:r w:rsidRPr="00937947">
        <w:rPr>
          <w:b/>
        </w:rPr>
        <w:t xml:space="preserve">3.- (Nº máximo de líneas </w:t>
      </w:r>
      <w:r w:rsidR="000F1B7B">
        <w:rPr>
          <w:b/>
        </w:rPr>
        <w:t>6</w:t>
      </w:r>
      <w:r w:rsidRPr="00937947">
        <w:rPr>
          <w:b/>
        </w:rPr>
        <w:t>)</w:t>
      </w:r>
      <w:r>
        <w:t xml:space="preserve"> </w:t>
      </w:r>
      <w:r w:rsidR="009D3A03">
        <w:t xml:space="preserve">Explica cómo funciona la función </w:t>
      </w:r>
      <w:r w:rsidR="009D3A03" w:rsidRPr="00C30C16">
        <w:rPr>
          <w:i/>
        </w:rPr>
        <w:t>map()</w:t>
      </w:r>
      <w:r w:rsidR="009D3A03">
        <w:t xml:space="preserve"> </w:t>
      </w:r>
      <w:r w:rsidR="001F3634">
        <w:t xml:space="preserve">junto con </w:t>
      </w:r>
      <w:r w:rsidR="001F3634" w:rsidRPr="00C30C16">
        <w:rPr>
          <w:i/>
        </w:rPr>
        <w:t>analogRead()</w:t>
      </w:r>
      <w:r w:rsidR="001F3634">
        <w:t>. Puedes ver un ejemplo de su utilización en la Sección 3.5.</w:t>
      </w:r>
    </w:p>
    <w:tbl>
      <w:tblPr>
        <w:tblStyle w:val="Tablaconcuadrcula"/>
        <w:tblW w:w="0" w:type="auto"/>
        <w:tblLook w:val="04A0" w:firstRow="1" w:lastRow="0" w:firstColumn="1" w:lastColumn="0" w:noHBand="0" w:noVBand="1"/>
      </w:tblPr>
      <w:tblGrid>
        <w:gridCol w:w="8494"/>
      </w:tblGrid>
      <w:tr w:rsidR="00E63C48" w:rsidRPr="00A7532C" w:rsidTr="00684CD2">
        <w:trPr>
          <w:trHeight w:val="1134"/>
        </w:trPr>
        <w:tc>
          <w:tcPr>
            <w:tcW w:w="8494" w:type="dxa"/>
            <w:noWrap/>
          </w:tcPr>
          <w:p w:rsidR="00E63C48" w:rsidRPr="00D76CCA" w:rsidRDefault="004E6764" w:rsidP="00A16FE5">
            <w:pPr>
              <w:jc w:val="both"/>
            </w:pPr>
            <w:r>
              <w:t xml:space="preserve">analogRead() sirve para leer la entrada analógica y luego con </w:t>
            </w:r>
            <w:r w:rsidR="00E421BC">
              <w:t>Map() mapea la salida al rango de salida y asigna el valor a la variable mapeado. Esto es necesario para realizar un cambio de escala entre 0-1023 a 0-355, valor válido para el led.</w:t>
            </w:r>
          </w:p>
        </w:tc>
      </w:tr>
    </w:tbl>
    <w:p w:rsidR="00E63C48" w:rsidRPr="00D76CCA" w:rsidRDefault="00E63C48" w:rsidP="00E63C48">
      <w:pPr>
        <w:jc w:val="both"/>
      </w:pPr>
    </w:p>
    <w:p w:rsidR="00E63C48" w:rsidRDefault="00A7532C" w:rsidP="00E63C48">
      <w:pPr>
        <w:jc w:val="both"/>
      </w:pPr>
      <w:r w:rsidRPr="00B14DCE">
        <w:rPr>
          <w:b/>
        </w:rPr>
        <w:t xml:space="preserve">4.- (Nº máximo de líneas </w:t>
      </w:r>
      <w:r w:rsidR="000F1B7B">
        <w:rPr>
          <w:b/>
        </w:rPr>
        <w:t>6</w:t>
      </w:r>
      <w:r w:rsidRPr="00B14DCE">
        <w:rPr>
          <w:b/>
        </w:rPr>
        <w:t>)</w:t>
      </w:r>
      <w:r>
        <w:t xml:space="preserve"> </w:t>
      </w:r>
      <w:r w:rsidR="008C14BE">
        <w:t>¿Cómo se puede utilizar</w:t>
      </w:r>
      <w:r w:rsidR="00A54005">
        <w:t xml:space="preserve"> el programa de la Sección 3.6.1 para “adivinar” los códigos de un receptor </w:t>
      </w:r>
      <w:r w:rsidR="000F1B7B">
        <w:t>infrarrojo</w:t>
      </w:r>
      <w:r w:rsidR="008C14BE">
        <w:t>? Justifica la respuesta.</w:t>
      </w:r>
    </w:p>
    <w:tbl>
      <w:tblPr>
        <w:tblStyle w:val="Tablaconcuadrcula"/>
        <w:tblW w:w="0" w:type="auto"/>
        <w:tblLook w:val="04A0" w:firstRow="1" w:lastRow="0" w:firstColumn="1" w:lastColumn="0" w:noHBand="0" w:noVBand="1"/>
      </w:tblPr>
      <w:tblGrid>
        <w:gridCol w:w="8494"/>
      </w:tblGrid>
      <w:tr w:rsidR="00E63C48" w:rsidRPr="00E63C48" w:rsidTr="00684CD2">
        <w:trPr>
          <w:trHeight w:val="1134"/>
        </w:trPr>
        <w:tc>
          <w:tcPr>
            <w:tcW w:w="8494" w:type="dxa"/>
            <w:noWrap/>
          </w:tcPr>
          <w:p w:rsidR="00E63C48" w:rsidRPr="00E63C48" w:rsidRDefault="004E6764" w:rsidP="00A16FE5">
            <w:pPr>
              <w:jc w:val="both"/>
            </w:pPr>
            <w:r>
              <w:t>El programa devuelve el código pulsado del mando infrarrojo por el monitor serie,  se puede utilizar para “adivinar” los códigos que devuelven cada uno de los botones de un mando a distancia, y es muy útil cuando no conoces la codificación de tu mando.</w:t>
            </w:r>
          </w:p>
        </w:tc>
      </w:tr>
    </w:tbl>
    <w:p w:rsidR="00A673CA" w:rsidRDefault="00A673CA" w:rsidP="00E63C48">
      <w:pPr>
        <w:jc w:val="both"/>
      </w:pPr>
    </w:p>
    <w:p w:rsidR="002A69E8" w:rsidRDefault="002A69E8" w:rsidP="00E63C48">
      <w:pPr>
        <w:jc w:val="both"/>
      </w:pPr>
    </w:p>
    <w:p w:rsidR="0014509A" w:rsidRDefault="0014509A" w:rsidP="0014509A">
      <w:pPr>
        <w:jc w:val="both"/>
      </w:pPr>
      <w:r>
        <w:rPr>
          <w:b/>
        </w:rPr>
        <w:t>5</w:t>
      </w:r>
      <w:r w:rsidRPr="00B14DCE">
        <w:rPr>
          <w:b/>
        </w:rPr>
        <w:t xml:space="preserve">.- (Nº máximo de líneas </w:t>
      </w:r>
      <w:r w:rsidR="000F1B7B">
        <w:rPr>
          <w:b/>
        </w:rPr>
        <w:t>6</w:t>
      </w:r>
      <w:r w:rsidRPr="00B14DCE">
        <w:rPr>
          <w:b/>
        </w:rPr>
        <w:t>)</w:t>
      </w:r>
      <w:r>
        <w:t xml:space="preserve"> </w:t>
      </w:r>
      <w:r w:rsidR="003E19F5">
        <w:t xml:space="preserve">Explica el uso de los vectores </w:t>
      </w:r>
      <w:r w:rsidR="003E19F5" w:rsidRPr="003E19F5">
        <w:rPr>
          <w:i/>
        </w:rPr>
        <w:t>claves</w:t>
      </w:r>
      <w:r w:rsidR="003E19F5">
        <w:t xml:space="preserve"> y </w:t>
      </w:r>
      <w:r w:rsidR="003E19F5" w:rsidRPr="003E19F5">
        <w:rPr>
          <w:i/>
        </w:rPr>
        <w:t>valor</w:t>
      </w:r>
      <w:r w:rsidR="003E19F5">
        <w:t xml:space="preserve"> en la Sección 3.6.3.</w:t>
      </w:r>
      <w:r w:rsidR="006C3081">
        <w:t xml:space="preserve"> ¿Qué beneficio ofrece su uso?</w:t>
      </w:r>
    </w:p>
    <w:tbl>
      <w:tblPr>
        <w:tblStyle w:val="Tablaconcuadrcula"/>
        <w:tblW w:w="0" w:type="auto"/>
        <w:tblLook w:val="04A0" w:firstRow="1" w:lastRow="0" w:firstColumn="1" w:lastColumn="0" w:noHBand="0" w:noVBand="1"/>
      </w:tblPr>
      <w:tblGrid>
        <w:gridCol w:w="8494"/>
      </w:tblGrid>
      <w:tr w:rsidR="0014509A" w:rsidRPr="00E63C48" w:rsidTr="009D1257">
        <w:trPr>
          <w:trHeight w:val="1134"/>
        </w:trPr>
        <w:tc>
          <w:tcPr>
            <w:tcW w:w="8494" w:type="dxa"/>
            <w:noWrap/>
          </w:tcPr>
          <w:p w:rsidR="0014509A" w:rsidRPr="00E63C48" w:rsidRDefault="007A6931" w:rsidP="000B7623">
            <w:pPr>
              <w:tabs>
                <w:tab w:val="left" w:pos="2400"/>
              </w:tabs>
              <w:jc w:val="both"/>
            </w:pPr>
            <w:r>
              <w:t xml:space="preserve">El uso de </w:t>
            </w:r>
            <w:r w:rsidR="000B7623">
              <w:t>vectores que</w:t>
            </w:r>
            <w:r w:rsidR="000B7623">
              <w:t xml:space="preserve"> contienen la palabra clave (el código del botón) y la cadena a tratar denominados claves y valor respectivamente</w:t>
            </w:r>
            <w:r w:rsidR="000B7623">
              <w:t xml:space="preserve"> hacen que el código sea más corto y sencillo,   por lo tanto, hace que sea más efectivo ya que no necesitamos utilizar tantos ifs y else ifs.</w:t>
            </w:r>
          </w:p>
        </w:tc>
      </w:tr>
    </w:tbl>
    <w:p w:rsidR="0014509A" w:rsidRDefault="0014509A" w:rsidP="0014509A">
      <w:pPr>
        <w:jc w:val="both"/>
      </w:pPr>
    </w:p>
    <w:p w:rsidR="003D0657" w:rsidRDefault="003D0657" w:rsidP="003D0657">
      <w:pPr>
        <w:jc w:val="both"/>
      </w:pPr>
      <w:r>
        <w:rPr>
          <w:b/>
        </w:rPr>
        <w:t>6</w:t>
      </w:r>
      <w:r w:rsidRPr="00B14DCE">
        <w:rPr>
          <w:b/>
        </w:rPr>
        <w:t xml:space="preserve">.- (Nº máximo de líneas </w:t>
      </w:r>
      <w:r w:rsidR="000F1B7B">
        <w:rPr>
          <w:b/>
        </w:rPr>
        <w:t>6</w:t>
      </w:r>
      <w:r w:rsidRPr="00B14DCE">
        <w:rPr>
          <w:b/>
        </w:rPr>
        <w:t>)</w:t>
      </w:r>
      <w:r>
        <w:t xml:space="preserve"> Explica</w:t>
      </w:r>
      <w:r w:rsidR="000F1B7B">
        <w:t xml:space="preserve"> cómo </w:t>
      </w:r>
      <w:r w:rsidR="005F25BE">
        <w:t>opera</w:t>
      </w:r>
      <w:r>
        <w:t xml:space="preserve"> la función getValor() de la Sección 3.6.3. </w:t>
      </w:r>
    </w:p>
    <w:tbl>
      <w:tblPr>
        <w:tblStyle w:val="Tablaconcuadrcula"/>
        <w:tblW w:w="0" w:type="auto"/>
        <w:tblLook w:val="04A0" w:firstRow="1" w:lastRow="0" w:firstColumn="1" w:lastColumn="0" w:noHBand="0" w:noVBand="1"/>
      </w:tblPr>
      <w:tblGrid>
        <w:gridCol w:w="8494"/>
      </w:tblGrid>
      <w:tr w:rsidR="003D0657" w:rsidRPr="00E63C48" w:rsidTr="00986FDD">
        <w:trPr>
          <w:trHeight w:val="1134"/>
        </w:trPr>
        <w:tc>
          <w:tcPr>
            <w:tcW w:w="8494" w:type="dxa"/>
            <w:noWrap/>
          </w:tcPr>
          <w:p w:rsidR="003D0657" w:rsidRPr="00E63C48" w:rsidRDefault="009C0CB3" w:rsidP="00986FDD">
            <w:pPr>
              <w:jc w:val="both"/>
            </w:pPr>
            <w:r>
              <w:t xml:space="preserve">La función getValor() devuelve el String que identifica el botón </w:t>
            </w:r>
            <w:r w:rsidR="004A437B">
              <w:t>pulsado. El</w:t>
            </w:r>
            <w:r>
              <w:t xml:space="preserve"> código del botón pulsado es buscado en el vector claves </w:t>
            </w:r>
            <w:r w:rsidR="004A437B">
              <w:t xml:space="preserve">mediante un </w:t>
            </w:r>
            <w:r>
              <w:t xml:space="preserve">bucle while y cuando se encuentra se utiliza </w:t>
            </w:r>
            <w:r w:rsidR="004A437B">
              <w:t xml:space="preserve">la </w:t>
            </w:r>
            <w:r>
              <w:t xml:space="preserve">variable i para </w:t>
            </w:r>
            <w:r w:rsidR="004A437B">
              <w:t>escoger</w:t>
            </w:r>
            <w:r>
              <w:t xml:space="preserve"> el String correcto de valor</w:t>
            </w:r>
            <w:r w:rsidR="004A437B">
              <w:t xml:space="preserve"> y</w:t>
            </w:r>
            <w:r>
              <w:t xml:space="preserve"> S</w:t>
            </w:r>
            <w:r w:rsidR="004A437B">
              <w:t>i</w:t>
            </w:r>
            <w:r>
              <w:t xml:space="preserve"> no se ha encontrado se devuelve un String vacío</w:t>
            </w:r>
            <w:r w:rsidR="004A437B">
              <w:t xml:space="preserve"> .</w:t>
            </w:r>
          </w:p>
        </w:tc>
      </w:tr>
    </w:tbl>
    <w:p w:rsidR="003D0657" w:rsidRDefault="003D0657" w:rsidP="0014509A">
      <w:pPr>
        <w:jc w:val="both"/>
      </w:pPr>
    </w:p>
    <w:p w:rsidR="00EA1BC9" w:rsidRDefault="003D0657" w:rsidP="00EA1BC9">
      <w:pPr>
        <w:jc w:val="both"/>
      </w:pPr>
      <w:r>
        <w:rPr>
          <w:b/>
        </w:rPr>
        <w:t>7</w:t>
      </w:r>
      <w:r w:rsidR="00EA1BC9" w:rsidRPr="00B14DCE">
        <w:rPr>
          <w:b/>
        </w:rPr>
        <w:t xml:space="preserve">.- (Nº máximo de líneas </w:t>
      </w:r>
      <w:r w:rsidR="00EA1BC9">
        <w:rPr>
          <w:b/>
        </w:rPr>
        <w:t>5</w:t>
      </w:r>
      <w:r w:rsidR="00EA1BC9" w:rsidRPr="00B14DCE">
        <w:rPr>
          <w:b/>
        </w:rPr>
        <w:t>)</w:t>
      </w:r>
      <w:r w:rsidR="00EA1BC9">
        <w:t xml:space="preserve"> </w:t>
      </w:r>
      <w:r w:rsidR="00E47DF7">
        <w:t xml:space="preserve">¿Qué beneficio aporta el uso del interfaz I2C junto con un LCD? </w:t>
      </w:r>
    </w:p>
    <w:tbl>
      <w:tblPr>
        <w:tblStyle w:val="Tablaconcuadrcula"/>
        <w:tblW w:w="0" w:type="auto"/>
        <w:tblLook w:val="04A0" w:firstRow="1" w:lastRow="0" w:firstColumn="1" w:lastColumn="0" w:noHBand="0" w:noVBand="1"/>
      </w:tblPr>
      <w:tblGrid>
        <w:gridCol w:w="8494"/>
      </w:tblGrid>
      <w:tr w:rsidR="00EA1BC9" w:rsidRPr="00E63C48" w:rsidTr="009D1257">
        <w:trPr>
          <w:trHeight w:val="1134"/>
        </w:trPr>
        <w:tc>
          <w:tcPr>
            <w:tcW w:w="8494" w:type="dxa"/>
            <w:noWrap/>
          </w:tcPr>
          <w:p w:rsidR="003F5B17" w:rsidRPr="00E63C48" w:rsidRDefault="008B3ACC" w:rsidP="009D1257">
            <w:pPr>
              <w:jc w:val="both"/>
            </w:pPr>
            <w:r>
              <w:t xml:space="preserve">El uso del interfaz I2C junto con el LCD hace que sea mucho </w:t>
            </w:r>
            <w:r w:rsidR="003F5B17">
              <w:t>más</w:t>
            </w:r>
            <w:r>
              <w:t xml:space="preserve"> sencillo su utilización </w:t>
            </w:r>
            <w:r w:rsidR="003F5B17">
              <w:t>y sobre todo su montaje ya que solo tendremos que conectar 4 pines del interfaz I2C al nodeMCU los cuales son: VCC que ira conectado a Vin del nodeMCU el cual le suministrara 5V , GND(tierra) que ira conectado al GND del nodeMCU y por ultimo los pines SDA y SCL que irán conectados a los pines digitales del nodeMCU.</w:t>
            </w:r>
            <w:bookmarkStart w:id="0" w:name="_GoBack"/>
            <w:bookmarkEnd w:id="0"/>
          </w:p>
        </w:tc>
      </w:tr>
    </w:tbl>
    <w:p w:rsidR="0014509A" w:rsidRDefault="0014509A" w:rsidP="00E63C48">
      <w:pPr>
        <w:jc w:val="both"/>
      </w:pPr>
    </w:p>
    <w:p w:rsidR="0014509A" w:rsidRDefault="0014509A" w:rsidP="00E63C48">
      <w:pPr>
        <w:jc w:val="both"/>
      </w:pPr>
    </w:p>
    <w:sectPr w:rsidR="001450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6AC"/>
    <w:rsid w:val="00020702"/>
    <w:rsid w:val="00085560"/>
    <w:rsid w:val="000B7623"/>
    <w:rsid w:val="000F1B7B"/>
    <w:rsid w:val="00123157"/>
    <w:rsid w:val="00143455"/>
    <w:rsid w:val="0014509A"/>
    <w:rsid w:val="00154959"/>
    <w:rsid w:val="00170FEB"/>
    <w:rsid w:val="001F3634"/>
    <w:rsid w:val="00214B2B"/>
    <w:rsid w:val="00220B23"/>
    <w:rsid w:val="00254511"/>
    <w:rsid w:val="002A69E8"/>
    <w:rsid w:val="002D7F46"/>
    <w:rsid w:val="002F2B3B"/>
    <w:rsid w:val="00325435"/>
    <w:rsid w:val="00353779"/>
    <w:rsid w:val="00391BB0"/>
    <w:rsid w:val="003D0657"/>
    <w:rsid w:val="003E19F5"/>
    <w:rsid w:val="003F5B17"/>
    <w:rsid w:val="00404C2F"/>
    <w:rsid w:val="00411694"/>
    <w:rsid w:val="004A437B"/>
    <w:rsid w:val="004E6764"/>
    <w:rsid w:val="00541FCD"/>
    <w:rsid w:val="005A3D59"/>
    <w:rsid w:val="005C4D0D"/>
    <w:rsid w:val="005F25BE"/>
    <w:rsid w:val="00606F98"/>
    <w:rsid w:val="00676210"/>
    <w:rsid w:val="00684CD2"/>
    <w:rsid w:val="006C3081"/>
    <w:rsid w:val="006C754E"/>
    <w:rsid w:val="007941E2"/>
    <w:rsid w:val="007A6931"/>
    <w:rsid w:val="007B7728"/>
    <w:rsid w:val="007C704A"/>
    <w:rsid w:val="00804C09"/>
    <w:rsid w:val="008B3ACC"/>
    <w:rsid w:val="008C14BE"/>
    <w:rsid w:val="00937947"/>
    <w:rsid w:val="009502D3"/>
    <w:rsid w:val="00966E04"/>
    <w:rsid w:val="009A409D"/>
    <w:rsid w:val="009C0CB3"/>
    <w:rsid w:val="009C41BB"/>
    <w:rsid w:val="009D3A03"/>
    <w:rsid w:val="009E6507"/>
    <w:rsid w:val="00A13D9D"/>
    <w:rsid w:val="00A54005"/>
    <w:rsid w:val="00A673CA"/>
    <w:rsid w:val="00A7532C"/>
    <w:rsid w:val="00B14DCE"/>
    <w:rsid w:val="00BA2EB9"/>
    <w:rsid w:val="00BD3ED1"/>
    <w:rsid w:val="00BE7084"/>
    <w:rsid w:val="00C30C16"/>
    <w:rsid w:val="00C51D17"/>
    <w:rsid w:val="00CD0497"/>
    <w:rsid w:val="00CE56AC"/>
    <w:rsid w:val="00D379DE"/>
    <w:rsid w:val="00D4080F"/>
    <w:rsid w:val="00D76CCA"/>
    <w:rsid w:val="00DA17C4"/>
    <w:rsid w:val="00DD6CF6"/>
    <w:rsid w:val="00DF76BF"/>
    <w:rsid w:val="00E0266B"/>
    <w:rsid w:val="00E421BC"/>
    <w:rsid w:val="00E47DF7"/>
    <w:rsid w:val="00E63C48"/>
    <w:rsid w:val="00E7104C"/>
    <w:rsid w:val="00EA1BC9"/>
    <w:rsid w:val="00F141C4"/>
    <w:rsid w:val="00F66938"/>
    <w:rsid w:val="00FE21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DCB7B"/>
  <w15:chartTrackingRefBased/>
  <w15:docId w15:val="{6165D7B3-444C-4E60-95DD-DBF72415A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753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2</Pages>
  <Words>622</Words>
  <Characters>3425</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MORENO GARCIA</dc:creator>
  <cp:keywords/>
  <dc:description/>
  <cp:lastModifiedBy>EMMANUEL MONTERO DÍEZ</cp:lastModifiedBy>
  <cp:revision>73</cp:revision>
  <dcterms:created xsi:type="dcterms:W3CDTF">2018-09-13T09:57:00Z</dcterms:created>
  <dcterms:modified xsi:type="dcterms:W3CDTF">2018-12-06T13:24:00Z</dcterms:modified>
</cp:coreProperties>
</file>