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9201150" cy="4380448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38044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560"/>
        <w:gridCol w:w="1950"/>
        <w:gridCol w:w="7455"/>
        <w:gridCol w:w="2295"/>
        <w:tblGridChange w:id="0">
          <w:tblGrid>
            <w:gridCol w:w="1140"/>
            <w:gridCol w:w="1560"/>
            <w:gridCol w:w="1950"/>
            <w:gridCol w:w="7455"/>
            <w:gridCol w:w="22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-1115059</wp:posOffset>
          </wp:positionV>
          <wp:extent cx="887730" cy="42037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19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1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1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1C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1D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1E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4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+4uL95E7djMoHPslf/2opVGypw==">AMUW2mUHpjImUBXWZ2shQVZsYg9EGYZJSXUD7RI/DbOsd4KPQJwXI4s1qOJO67xqo4NmG/RKgyOxKu5rn38w5+wSkmiW2DYnq+sx3GI4JWVSmbBTq1bb5u4=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