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3A5BFF"/>
          <w:sz w:val="26"/>
          <w:szCs w:val="26"/>
        </w:rPr>
        <w:t xml:space="preserve">ESTADO GENERAL DEL PROYECTO</w:t>
      </w:r>
    </w:p>
    <w:p>
      <w:pPr>
        <w:spacing w:after="120"/>
        <w:jc w:val="center"/>
      </w:pPr>
      <w:r>
        <w:rPr>
          <w:b/>
          <w:bCs/>
          <w:color w:val="0B1A6E"/>
          <w:sz w:val="56"/>
          <w:szCs w:val="56"/>
        </w:rPr>
        <w:t xml:space="preserve">BRENSON S.A.S.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Avance frente a la Propuesta de Desarrollo · Plan de Ejecución Técnico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 de corte</w:t>
            </w:r>
          </w:p>
        </w:tc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Preparado por</w:t>
            </w:r>
          </w:p>
        </w:tc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Enlaces Digitales</w:t>
            </w:r>
          </w:p>
        </w:tc>
        <w:tc>
          <w:tcPr>
            <w:tcW w:type="dxa" w:w="312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Pruebas (staging)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La plataforma está construida y funcionando en el ambiente de pruebas de la tienda Shopify de Brenson. Las fases de diseño y desarrollo del frontend están terminadas, el portal corporativo B2B completó su prueba de punta a punta, y el proyecto está en la etapa de integraciones, optimización, pruebas y carga del contenido definitivo.</w:t>
      </w:r>
    </w:p>
    <w:p>
      <w:pPr>
        <w:spacing w:after="120"/>
      </w:pPr>
      <w:r>
        <w:t xml:space="preserve">Lo que separa el sitio del lanzamiento no es desarrollo pendiente de gran tamaño, sino principalmente información y accesos que debe entregar Brenson (sección 5), más la optimización de velocidad en móvil.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Módulos listos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Bloqueados / sin iniciar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Fases cerradas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6B00"/>
                <w:sz w:val="30"/>
                <w:szCs w:val="30"/>
              </w:rPr>
              <w:t xml:space="preserve">9 de 18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A5A00"/>
                <w:sz w:val="30"/>
                <w:szCs w:val="30"/>
              </w:rPr>
              <w:t xml:space="preserve">7 de 18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9B1C12"/>
                <w:sz w:val="30"/>
                <w:szCs w:val="30"/>
              </w:rPr>
              <w:t xml:space="preserve">2 de 18</w:t>
            </w:r>
          </w:p>
        </w:tc>
        <w:tc>
          <w:tcPr>
            <w:tcW w:type="dxa" w:w="23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B1A6E"/>
                <w:sz w:val="30"/>
                <w:szCs w:val="30"/>
              </w:rPr>
              <w:t xml:space="preserve">2 de 6</w:t>
            </w:r>
          </w:p>
        </w:tc>
      </w:tr>
    </w:tbl>
    <w:p>
      <w:pPr>
        <w:spacing w:after="200" w:before="8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"Listos" incluye los módulos terminados en código que solo esperan datos reales de Brenson para salir a producción.</w:t>
      </w:r>
    </w:p>
    <w:p>
      <w:pPr>
        <w:pStyle w:val="Heading2"/>
      </w:pPr>
      <w:r>
        <w:t xml:space="preserve">Puntos destacados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 B2B probado contra la tienda real:</w:t>
      </w:r>
      <w:r>
        <w:t xml:space="preserve"> cotización → PDF con marca → aceptación en el portal → pedido con el precio acordado → descuento por volumen aplicado en el checkout. Los montos coinciden en todos los pasos.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Todas las prioridades B2C de la propuesta están construidas:</w:t>
      </w:r>
      <w:r>
        <w:t xml:space="preserve"> ficha, simulador, cuota mensual en catálogo, confianza y WhatsApp con mensaje por modelo.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reales de marca cargados:</w:t>
      </w:r>
      <w:r>
        <w:t xml:space="preserve"> manual de marca (paleta verde/turquesa, tipografía Ubuntu), sede en Cali, WhatsApp +57 301 2915915, aliados financieros y 9 videos reales de casos de éxito.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se corrigieron todos los hallazgos de la auditoría de seguridad del 18 de septiembre.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Principal pendiente técnico:</w:t>
      </w:r>
      <w:r>
        <w:t xml:space="preserve"> el tiempo de carga en móvil (5–7 s) aún está por encima del objetivo de 2,5 s.</w:t>
      </w:r>
    </w:p>
    <w:p>
      <w:pPr>
        <w:pStyle w:val="Heading2"/>
      </w:pPr>
      <w:r>
        <w:t xml:space="preserve">Ver el avance</w:t>
      </w:r>
    </w:p>
    <w:p>
      <w:pPr>
        <w:spacing w:after="120"/>
      </w:pPr>
      <w:r>
        <w:rPr>
          <w:b/>
          <w:bCs/>
        </w:rPr>
        <w:t xml:space="preserve">Vista previa del sitio: </w:t>
      </w:r>
      <w:r>
        <w:rPr>
          <w:color w:val="1B4F8A"/>
        </w:rPr>
        <w:t xml:space="preserve">https://brenson-0.myshopify.com?preview_theme_id=143001354315</w:t>
      </w:r>
    </w:p>
    <w:p>
      <w:pPr>
        <w:spacing w:after="120"/>
        <w:rPr>
          <w:color w:val="555555"/>
        </w:rPr>
      </w:pPr>
      <w:r>
        <w:rPr>
          <w:color w:val="555555"/>
        </w:rPr>
        <w:t xml:space="preserve">El sitio publicado hoy en brenson.co sigue siendo el anterior; el nuevo se publicará al cerrar la fase de lanzamiento.</w:t>
      </w:r>
    </w:p>
    <w:p>
      <w:r>
        <w:br w:type="page"/>
      </w:r>
    </w:p>
    <w:p>
      <w:pPr>
        <w:pStyle w:val="Heading1"/>
      </w:pPr>
      <w:r>
        <w:t xml:space="preserve">2. Avance por fases</w:t>
      </w:r>
    </w:p>
    <w:p>
      <w:pPr>
        <w:spacing w:after="120"/>
      </w:pPr>
      <w:r>
        <w:t xml:space="preserve">Según el plan de 16 semanas (versión completa con portal B2B, recomendada en la propuesta).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500"/>
        <w:gridCol w:w="3960"/>
      </w:tblGrid>
      <w:tr>
        <w:trPr>
          <w:tblHeader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Avance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1 · Auditoría, arquitectura y UX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1–2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del sitio anterior, arquitectura, metafields definidos, 17 pantallas de diseño (14 tienda + 3 Empresas), entorno de desarrollo.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2 · Frontend y tema custom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3–7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Tema completo desplegado en ambiente de pruebas: homepage, catálogo, fichas, simulador, confianza, WhatsApp y portal B2B.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3 · Backend, lógica B2B y metafields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6–10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 corporativo, aprobación, cotizador, PDF real, pedido desde la cotización y descuento por tier funcionando. Faltan documentos adjuntos y correo automático.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4 · Integraciones externas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9–12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Listos: anti-spam, PDF, financiación Addi, medición y consentimiento. Pendientes: GoHighLevel, IDs de GA4/GTM/Meta, Klaviyo, reseñas.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5 · SEO, performance y contenido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11–14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técnico listo; optimización de velocidad en curso; contenido real de Brenson parcialmente cargado.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6 · QA, testing y lanzamiento</w:t>
            </w:r>
          </w:p>
        </w:tc>
        <w:tc>
          <w:tcPr>
            <w:tcW w:type="dxa" w:w="1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Sem. 13–16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9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Primera ronda de QA ejecutada y corregida. Faltan pruebas con sesión corporativa, dispositivos físicos y el lanzamiento.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Avance por módulo</w:t>
      </w:r>
    </w:p>
    <w:p>
      <w:pPr>
        <w:spacing w:after="120"/>
      </w:pPr>
      <w:r>
        <w:t xml:space="preserve">Los 18 módulos de la sección § 02 de la propuesta.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30"/>
        <w:gridCol w:w="3380"/>
        <w:gridCol w:w="2600"/>
      </w:tblGrid>
      <w:tr>
        <w:trPr>
          <w:tblHeader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está hecho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falta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01 Homepage de alta conversión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Hero, barra de confianza, categorías, destacados, banner de financiación, carrusel de videos reales, prueba social, acceso Empresas y blog.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Contadores reales y testimonios aprobados.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02 Catálogo avanzado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Grid responsive, ordenamiento, vista rápida, badges y cuota mensual en cada tarjeta. 39 productos activos.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Especificaciones de 12 modelos (Corato, Dakota, Dallas, Furgón, Maxi, Milán, Mobility, Monaco, Platón, Vera, Verona, Zero).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03 Filtros avanzados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Filtros por categoría, uso, autonomía, velocidad, carga, financiable y licencia, con URL compartible.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final de la configuración: en la última prueba solo se mostraban categoría y precio.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04 Ficha como landing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Galería con videos, specs estructuradas, precio contado vs. financiado, WhatsApp con el modelo, cotización, FAQ, relacionados y barra fija en móvil.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sello "Certificado Brenson" está oculto hasta aprobar el checklist.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05 Simulador financiero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Cuota inicial y plazo seleccionables, tasa editable desde el admin, cuota en tiempo real, disclaimer y consulta de cupo con Addi.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la tasa real (hoy 1,9 % mensual de simulación).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06 Sistema de confianza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Sello y checklist, garantía expandible, envíos, contadores, aliados reales (Addi, Sistecrédito, Banco de Bogotá, Parque Tayrona, Comfandi, IsaMotos). Todo editable.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Garantía en meses, aprobación del checklist, contadores y tiempos de envío por región.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07 Autenticación y cuentas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Adaptado al nuevo sistema de cuentas de Shopify (acceso sin contraseña, código al correo). Registro personal / empresa con NIT.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app de facturación electrónica para las facturas descargables.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08 Portal corporativo B2B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protegido, catálogo corporativo, cotizador de flota, PDF con marca, aceptación que genera el pedido, y descuento por volumen aplicado en el checkout. Probado de punta a punta.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Porcentajes reales de tiers, almacenamiento de documentos y aviso por correo al asesor.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09 Captación de leads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Formularios con vehículo precargado, exit intent con ficha PDF, prueba de manejo con fecha y protección anti-spam.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Conexión con el CRM y aviso por correo.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 WhatsApp avanzado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Botón flotante con mensaje según la página, asesores y horario de atención visible.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Respuesta automática fuera de horario: se configura en WhatsApp Business.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 CRM GoHighLevel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BE0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9B1C12"/>
                <w:sz w:val="19"/>
                <w:szCs w:val="19"/>
              </w:rPr>
              <w:t xml:space="preserve">Bloqueado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conector ya está programado y listo para activarse.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si existe la subcuenta de GoHighLevel y dar acceso.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 Panel administrativo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Homepage, specs, garantías, simulador, tiers, asesores y aprobación B2B editables desde Shopify. Manual de administración redactado.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Capacitación del equipo (fase de lanzamiento).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 SEO técnico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estructurados validados (organización, producto, migas, FAQ), páginas corporativas fuera del índice, blog.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Redirecciones 301, Search Console y validación del contenido del blog.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 Performance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 de la página de inicio y la ficha reducido a 1,6 MB. Estabilidad visual (CLS) en verde.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Tiempo de carga principal (LCP) en 5–7 s en móvil; el objetivo es &lt; 2,5 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 Analytics y tracking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 de medición lista: eventos de ficha, simulador, WhatsApp, PDF, cotización; banner de consentimiento.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Cuentas reales de GTM / GA4 / Meta y tablero de KPIs.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 Remarketing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Sin iniciar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Meta Business Manager, Klaviyo y el CRM.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Accesos a Meta Business Manager y Klaviyo.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17 Mobile UX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Diseño mobile-first, barra de compra fija, galería deslizable, sin scroll horizontal a 390 px.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en Android físico de gama media, Safari y Samsung Internet.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18 Seguridad</w:t>
            </w:r>
          </w:p>
        </w:tc>
        <w:tc>
          <w:tcPr>
            <w:tcW w:type="dxa" w:w="133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338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del 18-sep con hallazgos corregidos: acceso B2B validado en servidor, enlaces firmados, anti-spam y límite de envíos. Accesibilidad 96–97/100.</w:t>
            </w:r>
          </w:p>
        </w:tc>
        <w:tc>
          <w:tcPr>
            <w:tcW w:type="dxa" w:w="26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la política de privacidad (Ley 1581).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DCF2D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F6B00"/>
                <w:sz w:val="19"/>
                <w:szCs w:val="19"/>
              </w:rPr>
              <w:t xml:space="preserve">Listo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Construido y probado; puede salir a producción.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Construido y probado; usa valores de ejemplo hasta recibir el dato real de Brenson.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Construido en parte o con trabajo técnico pendiente.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BE0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9B1C12"/>
                <w:sz w:val="19"/>
                <w:szCs w:val="19"/>
              </w:rPr>
              <w:t xml:space="preserve">Bloqueado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Listo del lado técnico; depende de un acceso o decisión externa.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Sin iniciar</w:t>
            </w:r>
          </w:p>
        </w:tc>
        <w:tc>
          <w:tcPr>
            <w:tcW w:type="dxa" w:w="71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iniciado; depende de accesos de terceros.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Prioridades críticas de la propuesta</w:t>
      </w:r>
    </w:p>
    <w:p>
      <w:pPr>
        <w:spacing w:after="120"/>
      </w:pPr>
      <w:r>
        <w:t xml:space="preserve">Las cinco prioridades "no negociables" de la sección § 09: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Fichas como landing de conversión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Construidas; faltan specs de 12 modelos y la aprobación del sello de certificación.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Simulador financiero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Funcionando en ficha, catálogo y página de financiación; falta confirmar la tasa real.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Sistema de confianza visible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E4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19"/>
                <w:szCs w:val="19"/>
              </w:rPr>
              <w:t xml:space="preserve">Listo · falta contenido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Construido; faltan garantía en meses, contadores y testimonios aprobados.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Portal B2B funcional y seguro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FF1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A5A00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Ciclo completo probado; faltan % reales de tiers, adjuntar documentos y avisos por correo.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GA4 + Meta Pixel + GHL desde el día 1</w:t>
            </w:r>
          </w:p>
        </w:tc>
        <w:tc>
          <w:tcPr>
            <w:tcW w:type="dxa" w:w="1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BE0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9B1C12"/>
                <w:sz w:val="19"/>
                <w:szCs w:val="19"/>
              </w:rPr>
              <w:t xml:space="preserve">Bloqueado</w:t>
            </w:r>
          </w:p>
        </w:tc>
        <w:tc>
          <w:tcPr>
            <w:tcW w:type="dxa" w:w="48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medición está programada; faltan las cuentas reales y confirmar GoHighLevel.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Lo que necesitamos de Brenson</w:t>
      </w:r>
    </w:p>
    <w:p>
      <w:pPr>
        <w:spacing w:after="120"/>
      </w:pPr>
      <w:r>
        <w:t xml:space="preserve">Estos ítems desbloquean el lanzamiento. Están ordenados por impacto.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Tasa de financiación real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Hoy 1,9 % mensual (valor de simulación). Define la cuota que ve cada cliente.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 de descuento por volumen B2B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Hoy 8 % (10+ u.), 12 % (20+), 18 % (50+). Es lo que se cobra en el checkout corporativo.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Garantía del vehículo en meses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el dato más visible del sistema de confianza.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Aprobación del checklist "Certificado Brenson"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sello no sale a producción sin su visto bueno.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Especificaciones de 12 modelos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Autonomía, velocidad, carga, batería y garantía. Sin esto no aparecen en filtros ni en el simulador.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Contadores y testimonios reales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Vehículos vendidos, clientes, años, ciudades; qué testimonios en video se publican y con qué nombre.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Ciudades de cobertura y tiempos de envío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Hoy el sitio menciona varias ciudades; con la sede en Cali hay que confirmar cuáles aplican.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Textos legales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Política de privacidad (Ley 1581), términos y condiciones, garantía, devoluciones y retracto.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Subcuenta de GoHighLevel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Desbloquea CRM, seguimiento automático y remarketing.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delegado al DNS (GoDaddy)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que los avisos por correo salgan desde brenson.co.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Método de pago en Cloudflare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activar el almacenamiento de documentos corporativos (costo dentro del nivel gratuito).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Accesos de Meta Business Manager, GA4 y Klaviyo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medición real y remarketing.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Color de los botones verdes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verde de marca con texto blanco no cumple el contraste mínimo de accesibilidad. Proponemos usar el verde oscuro #1F7A00 en botones.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 en PNG transparente o SVG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Tenemos el vector oficial pero no en formato web.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Fotos y nombres de asesores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fotos recibidas no coinciden con los asesores cargados.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clientes corporativos actuales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 NIT y tier, para migrarlos al portal.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Apps y pasarelas de pago</w:t>
            </w:r>
          </w:p>
        </w:tc>
        <w:tc>
          <w:tcPr>
            <w:tcW w:type="dxa" w:w="56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apps antiguas se desinstalan y qué pasarelas quedan activas.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Ajustes frente a la propuesta</w:t>
      </w:r>
    </w:p>
    <w:p>
      <w:pPr>
        <w:spacing w:after="120"/>
      </w:pPr>
      <w:r>
        <w:t xml:space="preserve">Durante la ejecución se tomaron estas decisiones técnicas, sin reducir el alcance: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tblHeader/>
        </w:trPr>
        <w:tc>
          <w:tcPr>
            <w:tcW w:type="dxa" w:w="23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Propuesta</w:t>
            </w:r>
          </w:p>
        </w:tc>
        <w:tc>
          <w:tcPr>
            <w:tcW w:type="dxa" w:w="50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0B1A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PDF de cotizaciones</w:t>
            </w:r>
          </w:p>
        </w:tc>
        <w:tc>
          <w:tcPr>
            <w:tcW w:type="dxa" w:w="2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PDFMonkey</w:t>
            </w:r>
          </w:p>
        </w:tc>
        <w:tc>
          <w:tcPr>
            <w:tcW w:type="dxa" w:w="50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Generación propia en Cloudflare con el mismo diseño de marca: sin costo por volumen y sin plantillas externas.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Filtros de autonomía, velocidad y carga</w:t>
            </w:r>
          </w:p>
        </w:tc>
        <w:tc>
          <w:tcPr>
            <w:tcW w:type="dxa" w:w="2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Slider doble</w:t>
            </w:r>
          </w:p>
        </w:tc>
        <w:tc>
          <w:tcPr>
            <w:tcW w:type="dxa" w:w="50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Filtros por rangos nativos de Shopify: más rápidos en móvil y sin JavaScript pesado.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de clientes</w:t>
            </w:r>
          </w:p>
        </w:tc>
        <w:tc>
          <w:tcPr>
            <w:tcW w:type="dxa" w:w="2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nativo con contraseña</w:t>
            </w:r>
          </w:p>
        </w:tc>
        <w:tc>
          <w:tcPr>
            <w:tcW w:type="dxa" w:w="50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Shopify retiró las cuentas clásicas; el acceso ahora es con código al correo. El portal y su control de acceso se adaptaron.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Pedido corporativo</w:t>
            </w:r>
          </w:p>
        </w:tc>
        <w:tc>
          <w:tcPr>
            <w:tcW w:type="dxa" w:w="20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Cotización PDF</w:t>
            </w:r>
          </w:p>
        </w:tc>
        <w:tc>
          <w:tcPr>
            <w:tcW w:type="dxa" w:w="506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F7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Además del PDF, el cliente acepta la cotización en el portal y se genera el pedido con el precio acordado.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Próximos pasos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Optimización de velocidad: </w:t>
      </w:r>
      <w:r>
        <w:t xml:space="preserve">llevar el tiempo de carga en móvil por debajo de 2,5 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Activar integraciones </w:t>
      </w:r>
      <w:r>
        <w:t xml:space="preserve">a medida que lleguen los accesos: correo desde brenson.co, documentos B2B, GoHighLevel, GA4/Meta.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Cargar el contenido real </w:t>
      </w:r>
      <w:r>
        <w:t xml:space="preserve">de la sección 5 y reemplazar todos los valores de ejemplo.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QA final: </w:t>
      </w:r>
      <w:r>
        <w:t xml:space="preserve">pruebas con sesión corporativa real, Android de gama media, Safari y Samsung Internet.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Capacitación del equipo de Brenson </w:t>
      </w:r>
      <w:r>
        <w:t xml:space="preserve">con el manual de administración.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Lanzamiento: </w:t>
      </w:r>
      <w:r>
        <w:t xml:space="preserve">publicar el tema en brenson.co y monitorear los primeros 7 días.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55"/>
        <w:sz w:val="16"/>
        <w:szCs w:val="16"/>
      </w:rPr>
      <w:t xml:space="preserve">Preparado por Enlaces Digitales · Confidencial     Pág.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5BFF" w:sz="6" w:space="4"/>
      </w:pBdr>
    </w:pPr>
    <w:r>
      <w:rPr>
        <w:b/>
        <w:bCs/>
        <w:color w:val="0B1A6E"/>
        <w:sz w:val="17"/>
        <w:szCs w:val="17"/>
      </w:rPr>
      <w:t xml:space="preserve">BRENSON S.A.S. </w:t>
    </w:r>
    <w:r>
      <w:rPr>
        <w:color w:val="555555"/>
        <w:sz w:val="17"/>
        <w:szCs w:val="17"/>
      </w:rPr>
      <w:t xml:space="preserve"> Estado general del proyecto · 23-sep-2026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3A5BFF" w:sz="24" w:space="8"/>
      </w:pBdr>
      <w:spacing w:after="160" w:before="240"/>
      <w:outlineLvl w:val="0"/>
    </w:pPr>
    <w:rPr>
      <w:b/>
      <w:bCs/>
      <w:color w:val="0B1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0B1A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general del proyecto Brenson</dc:title>
  <dc:creator>Enlaces Digitales</dc:creator>
  <cp:lastModifiedBy>Un-named</cp:lastModifiedBy>
  <cp:revision>1</cp:revision>
  <dcterms:created xsi:type="dcterms:W3CDTF">2026-09-24T00:16:17.605Z</dcterms:created>
  <dcterms:modified xsi:type="dcterms:W3CDTF">2026-09-24T00:16:17.607Z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