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9A800"/>
          <w:sz w:val="20"/>
          <w:szCs w:val="20"/>
        </w:rPr>
        <w:t xml:space="preserve">BRENSON · TIENDA WEB</w:t>
      </w:r>
    </w:p>
    <w:p>
      <w:pPr>
        <w:pStyle w:val="Title"/>
        <w:spacing w:after="80"/>
      </w:pPr>
      <w:r>
        <w:rPr>
          <w:b/>
          <w:bCs/>
          <w:color w:val="1E1E1E"/>
          <w:sz w:val="34"/>
          <w:szCs w:val="34"/>
        </w:rPr>
        <w:t xml:space="preserve">Preguntas para avanzar con la publicación del sitio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Ya tenemos el sitio construido y funcionando en un entorno de pruebas. Para poder publicarlo, necesitamos que Brenson confirme los siguientes puntos, organizados por tema.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1. Financiación y precios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1. </w:t>
      </w:r>
      <w:r>
        <w:rPr>
          <w:color w:val="1E1E1E"/>
        </w:rPr>
        <w:t xml:space="preserve">La tasa de financiación que tenemos cargada es 1.9% mensual — ¿es la tasa real aprobada con el aliado financiero, o fue solo un valor de ejemplo?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2. </w:t>
      </w:r>
      <w:r>
        <w:rPr>
          <w:color w:val="1E1E1E"/>
        </w:rPr>
        <w:t xml:space="preserve">Los descuentos por volumen para empresas que tenemos cargados son: 10+ unidades → 8%, 20+ unidades → 12%, 50+ unidades → 18%. ¿Son los porcentajes reales?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2. Garantía y certificación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3. </w:t>
      </w:r>
      <w:r>
        <w:rPr>
          <w:color w:val="1E1E1E"/>
        </w:rPr>
        <w:t xml:space="preserve">¿Cuántos meses cubre la garantía general del vehículo (motor/estructura)?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Tenemos las 9 causales que anulan la garantía, pero no el plazo en meses.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4. </w:t>
      </w:r>
      <w:r>
        <w:rPr>
          <w:color w:val="1E1E1E"/>
        </w:rPr>
        <w:t xml:space="preserve">El checklist de 12 puntos de la "Certificación Brenson" está redactado pero como borrador — ¿lo aprueban tal cual o falta ajustarlo antes de publicarlo?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3. Cobertura y logística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5. </w:t>
      </w:r>
      <w:r>
        <w:rPr>
          <w:color w:val="1E1E1E"/>
        </w:rPr>
        <w:t xml:space="preserve">¿Cuáles son las ciudades reales donde se ofrece entrega inmediata y prueba de manejo a domicilio?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Hoy el sitio tiene una mezcla de ciudades sin confirmar.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6. </w:t>
      </w:r>
      <w:r>
        <w:rPr>
          <w:color w:val="1E1E1E"/>
        </w:rPr>
        <w:t xml:space="preserve">¿Cuáles son los tiempos de envío estimados por región del país?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4. CRM y canales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7. </w:t>
      </w:r>
      <w:r>
        <w:rPr>
          <w:color w:val="1E1E1E"/>
        </w:rPr>
        <w:t xml:space="preserve">¿Existe una cuenta activa de GoHighLevel (CRM)?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Si sí, necesitamos acceso para conectarla con la tienda.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8. </w:t>
      </w:r>
      <w:r>
        <w:rPr>
          <w:color w:val="1E1E1E"/>
        </w:rPr>
        <w:t xml:space="preserve">El WhatsApp de atención, ¿es la app normal de WhatsApp Business o usan la API oficial?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Define si hay respuestas automáticas fuera de horario.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5. Operación de la tienda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9. </w:t>
      </w:r>
      <w:r>
        <w:rPr>
          <w:color w:val="1E1E1E"/>
        </w:rPr>
        <w:t xml:space="preserve">¿Qué tipo de cuenta de cliente manejan hoy — la clásica o la nueva de Shopify?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10. </w:t>
      </w:r>
      <w:r>
        <w:rPr>
          <w:color w:val="1E1E1E"/>
        </w:rPr>
        <w:t xml:space="preserve">¿Qué aplicaciones siguen instaladas en la tienda que ya no se necesiten?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Revisamos algunas de reseñas y notificaciones que parecen residuo de una configuración anterior.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11. </w:t>
      </w:r>
      <w:r>
        <w:rPr>
          <w:color w:val="1E1E1E"/>
        </w:rPr>
        <w:t xml:space="preserve">¿Qué pasarelas de pago tienen configuradas hoy?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12. </w:t>
      </w:r>
      <w:r>
        <w:rPr>
          <w:color w:val="1E1E1E"/>
        </w:rPr>
        <w:t xml:space="preserve">¿Con qué aplicación emiten factura electrónica?</w:t>
      </w:r>
    </w:p>
    <w:p>
      <w:pPr>
        <w:pStyle w:val="Heading2"/>
        <w:pBdr>
          <w:bottom w:val="single" w:color="29A800" w:sz="6" w:space="4"/>
        </w:pBdr>
        <w:spacing w:after="120" w:before="320"/>
      </w:pPr>
      <w:r>
        <w:rPr>
          <w:b/>
          <w:bCs/>
          <w:color w:val="1E1E1E"/>
          <w:sz w:val="26"/>
          <w:szCs w:val="26"/>
        </w:rPr>
        <w:t xml:space="preserve">6. Contenido pendiente de entregar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13. </w:t>
      </w:r>
      <w:r>
        <w:rPr>
          <w:color w:val="1E1E1E"/>
        </w:rPr>
        <w:t xml:space="preserve">Logo en formato PNG o SVG (transparente).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Hoy solo tenemos el vector en PDF/AI.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14. </w:t>
      </w:r>
      <w:r>
        <w:rPr>
          <w:color w:val="1E1E1E"/>
        </w:rPr>
        <w:t xml:space="preserve">Cifras reales: vehículos vendidos, clientes/empresas atendidas, años de operación, ciudades con entregas.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Hoy son cifras de ejemplo.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15. </w:t>
      </w:r>
      <w:r>
        <w:rPr>
          <w:color w:val="1E1E1E"/>
        </w:rPr>
        <w:t xml:space="preserve">De los videos de testimonios y casos de éxito que nos enviaron, ¿cuáles autorizan a publicar con el nombre real de la persona/cliente?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Varios no traían nombre en el material que recibimos.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16. </w:t>
      </w:r>
      <w:r>
        <w:rPr>
          <w:color w:val="1E1E1E"/>
        </w:rPr>
        <w:t xml:space="preserve">Las 4 fotos de asesores que enviaron (Diana, Juliana, Sandra, Yessica) no coinciden con los nombres de los 4 asesores que ya tenemos cargados (Laura Martínez, Andrés Gómez, Camilo Ruiz, Diana Torres) — ¿nos ayudan a aclarar cuál foto es de cuál asesor?</w:t>
      </w:r>
    </w:p>
    <w:p>
      <w:pPr>
        <w:spacing w:after="40"/>
        <w:ind w:left="215"/>
      </w:pPr>
      <w:r>
        <w:rPr>
          <w:b/>
          <w:bCs/>
          <w:color w:val="29A800"/>
        </w:rPr>
        <w:t xml:space="preserve">17. </w:t>
      </w:r>
      <w:r>
        <w:rPr>
          <w:color w:val="1E1E1E"/>
        </w:rPr>
        <w:t xml:space="preserve">Specs técnicas (autonomía, velocidad, carga, batería, garantía) de los 12 vehículos del catálogo anterior: Corato, Dakota, Dallas, Furgón, Maxi, Milán, Mobility, Monaco, Platón, Vera, Verona, Zero.</w:t>
      </w:r>
    </w:p>
    <w:p>
      <w:pPr>
        <w:spacing w:after="180"/>
        <w:ind w:left="504"/>
      </w:pPr>
      <w:r>
        <w:rPr>
          <w:i/>
          <w:iCs/>
          <w:color w:val="555555"/>
          <w:sz w:val="20"/>
          <w:szCs w:val="20"/>
        </w:rPr>
        <w:t xml:space="preserve">Las fotos ya están cargadas, solo faltan estos datos.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18. </w:t>
      </w:r>
      <w:r>
        <w:rPr>
          <w:color w:val="1E1E1E"/>
        </w:rPr>
        <w:t xml:space="preserve">Lista de clientes corporativos actuales a migrar, con NIT y nivel/tier de cada uno.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19. </w:t>
      </w:r>
      <w:r>
        <w:rPr>
          <w:color w:val="1E1E1E"/>
        </w:rPr>
        <w:t xml:space="preserve">Textos legales: política de privacidad, términos y condiciones, garantía y devoluciones.</w:t>
      </w:r>
    </w:p>
    <w:p>
      <w:pPr>
        <w:spacing w:after="160"/>
        <w:ind w:left="215"/>
      </w:pPr>
      <w:r>
        <w:rPr>
          <w:b/>
          <w:bCs/>
          <w:color w:val="29A800"/>
        </w:rPr>
        <w:t xml:space="preserve">20. </w:t>
      </w:r>
      <w:r>
        <w:rPr>
          <w:color w:val="1E1E1E"/>
        </w:rPr>
        <w:t xml:space="preserve">El manual de marca que tenemos es la versión de 2022 — ¿sigue vigente o hay una versión más reciente?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555555"/>
          <w:sz w:val="20"/>
          <w:szCs w:val="20"/>
        </w:rPr>
        <w:t xml:space="preserve">Quedamos atentos a sus respuestas para continuar con la publicación del sitio.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2026-09-18T02:09:20.786Z</dcterms:created>
  <dcterms:modified xsi:type="dcterms:W3CDTF">2026-09-18T02:09:20.788Z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