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Comercial — Consultoria Tributária</w:t>
      </w:r>
    </w:p>
    <w:p>
      <w:r>
        <w:t>Data: 13/01/2026</w:t>
      </w:r>
    </w:p>
    <w:p>
      <w:pPr>
        <w:pStyle w:val="Heading2"/>
      </w:pPr>
      <w:r>
        <w:t>1. Identificação do Cliente</w:t>
      </w:r>
    </w:p>
    <w:p>
      <w:r>
        <w:t>Cliente: (preencha aqui)</w:t>
      </w:r>
    </w:p>
    <w:p>
      <w:pPr>
        <w:pStyle w:val="Heading2"/>
      </w:pPr>
      <w:r>
        <w:t>2. Objeto e Escopo</w:t>
      </w:r>
    </w:p>
    <w:p>
      <w:r>
        <w:t>**Objeto / Demanda**: AFD — Análise Fiscal Digital</w:t>
        <w:br/>
        <w:br/>
        <w:t>**Perfil do Cliente**: A</w:t>
        <w:br/>
        <w:br/>
        <w:t>**Complexidade**: baixa | **Amplitude**: super_fechado</w:t>
        <w:br/>
        <w:br/>
        <w:t>**Escopo (base)**: Tributos federais, estaduais, previdenciários.</w:t>
        <w:br/>
        <w:br/>
        <w:t>**Aplicabilidade (base)**: Empresas do Lucro Real e Presumido (alguns segmentos).</w:t>
        <w:br/>
        <w:br/>
        <w:t>**Entregáveis**:</w:t>
        <w:br/>
        <w:t>- Relatório de Ativos</w:t>
        <w:br/>
        <w:t>- Relatório de Passivos (opcional)</w:t>
        <w:br/>
        <w:br/>
        <w:t>**Prazo estimado**: 30 dias</w:t>
        <w:br/>
        <w:br/>
        <w:t>**Premissas de esforço (estimativa)**:</w:t>
        <w:br/>
        <w:t>- Total de horas estimadas e mix de equipe: Gerente I: 3.5h, Líder Técnico I: 10.0h, Consultor Pleno B: 30.0h, Consultor Junior: 19.5h, Assistente: 8.5h</w:t>
        <w:br/>
        <w:br/>
        <w:t>**Descrição detalhada informada pelo solicitante**:</w:t>
        <w:br/>
        <w:t>(não informado)</w:t>
        <w:br/>
        <w:br/>
        <w:t>**Exclusões (padrão)**:</w:t>
        <w:br/>
        <w:t>- Implementação sistêmica/parametrização em ERP (salvo contratação adicional)</w:t>
        <w:br/>
        <w:t>- Atuação contenciosa judicial/administrativa (salvo escopo específico)</w:t>
        <w:br/>
        <w:t>- Obrigações acessórias recorrentes fora do escopo</w:t>
        <w:br/>
      </w:r>
    </w:p>
    <w:p>
      <w:pPr>
        <w:pStyle w:val="Heading2"/>
      </w:pPr>
      <w:r>
        <w:t>3. Prazo</w:t>
      </w:r>
    </w:p>
    <w:p>
      <w:r>
        <w:t>Prazo estimado: 30 dias.</w:t>
      </w:r>
    </w:p>
    <w:p>
      <w:pPr>
        <w:pStyle w:val="Heading2"/>
      </w:pPr>
      <w:r>
        <w:t>4. Equipe e Alocação</w:t>
      </w:r>
    </w:p>
    <w:p>
      <w:r>
        <w:t>- Gerente I: 3.5 horas</w:t>
      </w:r>
    </w:p>
    <w:p>
      <w:r>
        <w:t>- Líder Técnico I: 10.0 horas</w:t>
      </w:r>
    </w:p>
    <w:p>
      <w:r>
        <w:t>- Consultor Pleno B: 30.0 horas</w:t>
      </w:r>
    </w:p>
    <w:p>
      <w:r>
        <w:t>- Consultor Junior: 19.5 horas</w:t>
      </w:r>
    </w:p>
    <w:p>
      <w:r>
        <w:t>- Assistente: 8.5 horas</w:t>
      </w:r>
    </w:p>
    <w:p>
      <w:pPr>
        <w:pStyle w:val="Heading2"/>
      </w:pPr>
      <w:r>
        <w:t>5. Investimento</w:t>
      </w:r>
    </w:p>
    <w:p>
      <w:r>
        <w:t>Custo interno estimado: R$ 9.555,04</w:t>
      </w:r>
    </w:p>
    <w:p>
      <w:r>
        <w:t>Preço de venda: R$ 88.038,08</w:t>
      </w:r>
    </w:p>
    <w:p>
      <w:pPr>
        <w:pStyle w:val="Heading2"/>
      </w:pPr>
      <w:r>
        <w:t>6. Condições Gerais</w:t>
      </w:r>
    </w:p>
    <w:p>
      <w:r>
        <w:t>- Validade: 10 dias.</w:t>
      </w:r>
    </w:p>
    <w:p>
      <w:r>
        <w:t>- Início após aceite e kickoff.</w:t>
      </w:r>
    </w:p>
    <w:p>
      <w:r>
        <w:t>- Premissas/exclusões conforme escopo.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