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PREDICCIÓN DE POTENCIALES DEPÓSITOS DE LITIO (Li) MEDIANTE EL USO DE DATOS GEOQUÍMICOS Y MACHINE LEARNING EN COLOMBIA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Luis Aguirre</w:t>
      </w:r>
    </w:p>
    <w:p w:rsidR="00000000" w:rsidDel="00000000" w:rsidP="00000000" w:rsidRDefault="00000000" w:rsidRPr="00000000" w14:paraId="0000000C">
      <w:pPr>
        <w:jc w:val="center"/>
        <w:rPr/>
      </w:pPr>
      <w:r w:rsidDel="00000000" w:rsidR="00000000" w:rsidRPr="00000000">
        <w:rPr>
          <w:rtl w:val="0"/>
        </w:rPr>
        <w:t xml:space="preserve">Natalia Correa</w:t>
      </w:r>
    </w:p>
    <w:p w:rsidR="00000000" w:rsidDel="00000000" w:rsidP="00000000" w:rsidRDefault="00000000" w:rsidRPr="00000000" w14:paraId="0000000D">
      <w:pPr>
        <w:jc w:val="center"/>
        <w:rPr/>
      </w:pPr>
      <w:r w:rsidDel="00000000" w:rsidR="00000000" w:rsidRPr="00000000">
        <w:rPr>
          <w:rtl w:val="0"/>
        </w:rPr>
        <w:t xml:space="preserve">Diego Ramírez</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Bootcamp: Análisis de datos – Integrador</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Septiembre de 2025</w:t>
      </w:r>
    </w:p>
    <w:p w:rsidR="00000000" w:rsidDel="00000000" w:rsidP="00000000" w:rsidRDefault="00000000" w:rsidRPr="00000000" w14:paraId="00000019">
      <w:pPr>
        <w:rPr>
          <w:b w:val="1"/>
          <w:color w:val="365f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rFonts w:ascii="Cambria" w:cs="Cambria" w:eastAsia="Cambria" w:hAnsi="Cambria"/>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1C">
      <w:pPr>
        <w:jc w:val="both"/>
        <w:rPr/>
      </w:pPr>
      <w:r w:rsidDel="00000000" w:rsidR="00000000" w:rsidRPr="00000000">
        <w:rPr>
          <w:rtl w:val="0"/>
        </w:rPr>
        <w:t xml:space="preserve">La creciente dependencia global de los sistemas de almacenamiento de energía, impulsada por el transporte eléctrico, ha generado un incremento exponencial en la producción de baterías de iones de litio recargables, consolidando al litio (Li) como un elemento de importancia estratégica mundial. Para satisfacer la demanda actual y asegurar la cobertura de las necesidades futuras de Li y otros metales críticos como el cesio (Cs), rubidio (Rb), estaño (Sn), tantalio (Ta) y niobio (Nb), resulta vital el descubrimiento y la caracterización de nuevos depósitos en pegmatitas de litio-cesio-tantalio (LCT). Esta necesidad se alinea directamente con los Objetivos de Desarrollo Sostenible (ODS) de las Naciones Unidas, específicamente el ODS 7 (energía limpia y asequible) y el ODS 11 (ciudades y comunidades sostenibles).</w:t>
      </w:r>
    </w:p>
    <w:p w:rsidR="00000000" w:rsidDel="00000000" w:rsidP="00000000" w:rsidRDefault="00000000" w:rsidRPr="00000000" w14:paraId="0000001D">
      <w:pPr>
        <w:jc w:val="both"/>
        <w:rPr/>
      </w:pPr>
      <w:r w:rsidDel="00000000" w:rsidR="00000000" w:rsidRPr="00000000">
        <w:rPr>
          <w:rtl w:val="0"/>
        </w:rPr>
        <w:t xml:space="preserve">No obstante, la exploración de las pegmatitas LCT es inherentemente costosa, lenta, y se ve dificultada por su tamaño relativamente pequeño (típicamente menos de 50 metros de ancho) y el enmascaramiento por materiales de cobertura como el suelo y vegetación. Los métodos tradicionales de exploración, incluyendo la geoquímica de suelos, lateritas o sedimentos, aunque moderadamente exitosos, presentan limitaciones significativas. Las técnicas de análisis de muestra total, como la espectrometría de masas con plasma acoplado inductivamente (ICP-MS) o la espectroscopia de emisión óptica (ICP-OES), son costosas y lentas, y el uso de ácidos corrosivos para la digestión ácida puede estar restringido por razones de seguridad o medioambientales. Además, las tecnologías analíticas portátiles como la fluorescencia de rayos X portátil (pXRF), si bien es rápida y de bajo costo, no puede detectar directamente el litio. Esta limitación se debe a que la pXRF solo puede cuantificar elementos trazadores más pesados que el magnesio que se asocian al Li en las pegmatitas LCT (como K, Rb, Cs, Ba, Sr, Cu, Zn, Pb, Ga, Sn, Ta, ± W).</w:t>
      </w:r>
    </w:p>
    <w:p w:rsidR="00000000" w:rsidDel="00000000" w:rsidP="00000000" w:rsidRDefault="00000000" w:rsidRPr="00000000" w14:paraId="0000001E">
      <w:pPr>
        <w:jc w:val="both"/>
        <w:rPr/>
      </w:pPr>
      <w:r w:rsidDel="00000000" w:rsidR="00000000" w:rsidRPr="00000000">
        <w:rPr>
          <w:rtl w:val="0"/>
        </w:rPr>
        <w:t xml:space="preserve">La urgencia de desarrollar métodos de exploración más económicos, rápidos y sostenibles para la identificación de depósitos de Li, ha impulsado la integración de estrategias de análisis de datos avanzadas. Estudios recientes han demostrado que es posible superar la limitación del pXRF mediante el uso de algoritmos de aprendizaje automático (Machine Learning, ML), para predecir el contenido de Li en rocas basándose en las concentraciones de elementos trazadores (</w:t>
      </w:r>
      <w:r w:rsidDel="00000000" w:rsidR="00000000" w:rsidRPr="00000000">
        <w:rPr>
          <w:rtl w:val="0"/>
        </w:rPr>
        <w:t xml:space="preserve">Cs, U</w:t>
      </w:r>
      <w:r w:rsidDel="00000000" w:rsidR="00000000" w:rsidRPr="00000000">
        <w:rPr>
          <w:rtl w:val="0"/>
        </w:rPr>
        <w:t xml:space="preserve">, Zn, As, Th, W, Sc, Y, Tb, Ga, Dy, In, Fe, Ho, Co, Er) y la relación K/Rb. El uso de ML ha demostrado ser robusto, logrando altas precisiones (un modelo de red neuronal para la predicción de Li alcanzó un R² de 0.90 y un RPD de 3.2, indicando una predicción precisa).</w:t>
      </w:r>
    </w:p>
    <w:p w:rsidR="00000000" w:rsidDel="00000000" w:rsidP="00000000" w:rsidRDefault="00000000" w:rsidRPr="00000000" w14:paraId="0000001F">
      <w:pPr>
        <w:jc w:val="both"/>
        <w:rPr/>
      </w:pPr>
      <w:r w:rsidDel="00000000" w:rsidR="00000000" w:rsidRPr="00000000">
        <w:rPr>
          <w:rtl w:val="0"/>
        </w:rPr>
        <w:t xml:space="preserve">El presente proyecto se enfoca en aplicar y adaptar esta innovadora metodología de predicción al contexto geológico y geoquímico de Colombia. Colombia, en su estrategia de transición energética, requiere la identificación y caracterización de sus recursos de minerales estratégicos. La adaptación de este enfoque basado en la geoquímica y ML representa una alternativa más eficiente y menos invasiva en comparación con los métodos tradicionales, lo que puede reducir costos y acelerar la prospección de Li. Los resultados de este análisis beneficiarán directamente al Servicio Geológico Colombiano y a las empresas exploradoras, al proporcionar una herramienta de toma de decisiones informada y eficiente para dirigir los esfuerzos de prospección en campo.</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b w:val="1"/>
          <w:sz w:val="24"/>
          <w:szCs w:val="24"/>
          <w:rtl w:val="0"/>
        </w:rPr>
        <w:t xml:space="preserve">Pregunta de Investigación</w:t>
      </w:r>
    </w:p>
    <w:p w:rsidR="00000000" w:rsidDel="00000000" w:rsidP="00000000" w:rsidRDefault="00000000" w:rsidRPr="00000000" w14:paraId="00000022">
      <w:pPr>
        <w:jc w:val="both"/>
        <w:rPr/>
      </w:pPr>
      <w:r w:rsidDel="00000000" w:rsidR="00000000" w:rsidRPr="00000000">
        <w:rPr>
          <w:rtl w:val="0"/>
        </w:rPr>
        <w:t xml:space="preserve">¿Cómo podemos optimizar y hacer más eficiente la identificación de potenciales depósitos de litio en Colombia, superando las limitaciones de la exploración geoquímica tradicional y la incapacidad de la pXRF para detectar litio directamente, mediante la adaptación y el reentrenamiento de algoritmos avanzados de aprendizaje automático utilizando datos geoquímicos disponibles?</w:t>
      </w:r>
    </w:p>
    <w:p w:rsidR="00000000" w:rsidDel="00000000" w:rsidP="00000000" w:rsidRDefault="00000000" w:rsidRPr="00000000" w14:paraId="00000023">
      <w:pPr>
        <w:pStyle w:val="Heading1"/>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Objetivos</w:t>
      </w:r>
    </w:p>
    <w:p w:rsidR="00000000" w:rsidDel="00000000" w:rsidP="00000000" w:rsidRDefault="00000000" w:rsidRPr="00000000" w14:paraId="00000024">
      <w:pPr>
        <w:jc w:val="both"/>
        <w:rPr>
          <w:b w:val="1"/>
        </w:rPr>
      </w:pPr>
      <w:r w:rsidDel="00000000" w:rsidR="00000000" w:rsidRPr="00000000">
        <w:rPr>
          <w:rtl w:val="0"/>
        </w:rPr>
        <w:br w:type="textWrapping"/>
      </w:r>
      <w:r w:rsidDel="00000000" w:rsidR="00000000" w:rsidRPr="00000000">
        <w:rPr>
          <w:b w:val="1"/>
          <w:rtl w:val="0"/>
        </w:rPr>
        <w:t xml:space="preserve">Objetivo General</w:t>
      </w:r>
    </w:p>
    <w:p w:rsidR="00000000" w:rsidDel="00000000" w:rsidP="00000000" w:rsidRDefault="00000000" w:rsidRPr="00000000" w14:paraId="00000025">
      <w:pPr>
        <w:jc w:val="both"/>
        <w:rPr/>
      </w:pPr>
      <w:r w:rsidDel="00000000" w:rsidR="00000000" w:rsidRPr="00000000">
        <w:rPr>
          <w:rtl w:val="0"/>
        </w:rPr>
        <w:t xml:space="preserve">Adaptar y validar la metodología de predicción geoquímica de litio (Li) mediante algoritmos de aprendizaje automático (Machine Learning) al contexto colombiano, utilizando elementos trazadores cuantificables por fluorescencia de rayos X portátil (pXRF), con el fin de desarrollar una herramienta de prospección más rápida, económica y eficiente para la identificación de zonas con potencial de pegmatitas de litio-cesio-tantalio (LCT) en el país.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Objetivos Específicos</w:t>
      </w:r>
    </w:p>
    <w:p w:rsidR="00000000" w:rsidDel="00000000" w:rsidP="00000000" w:rsidRDefault="00000000" w:rsidRPr="00000000" w14:paraId="00000028">
      <w:pPr>
        <w:jc w:val="both"/>
        <w:rPr/>
      </w:pPr>
      <w:r w:rsidDel="00000000" w:rsidR="00000000" w:rsidRPr="00000000">
        <w:rPr>
          <w:rtl w:val="0"/>
        </w:rPr>
        <w:t xml:space="preserve">1. Gestionar y estructurar la base de datos geoquímicos: Estructurar una base de datos geoquímica (en Access, MySQL y Pandas), que incluya las concentraciones de litio (Li) y los 16 elementos trazadores detectables por pXRF (</w:t>
      </w:r>
      <w:r w:rsidDel="00000000" w:rsidR="00000000" w:rsidRPr="00000000">
        <w:rPr>
          <w:rtl w:val="0"/>
        </w:rPr>
        <w:t xml:space="preserve">Cs, U</w:t>
      </w:r>
      <w:r w:rsidDel="00000000" w:rsidR="00000000" w:rsidRPr="00000000">
        <w:rPr>
          <w:rtl w:val="0"/>
        </w:rPr>
        <w:t xml:space="preserve">, Zn, As, Th, W, Sc, Y, Tb, Ga, Dy, In, Fe, Ho, Co, Er) y la relación K/Rb, asegurando la consistencia y normalización de los datos para su posterior análisis.</w:t>
      </w:r>
    </w:p>
    <w:p w:rsidR="00000000" w:rsidDel="00000000" w:rsidP="00000000" w:rsidRDefault="00000000" w:rsidRPr="00000000" w14:paraId="00000029">
      <w:pPr>
        <w:jc w:val="both"/>
        <w:rPr/>
      </w:pPr>
      <w:r w:rsidDel="00000000" w:rsidR="00000000" w:rsidRPr="00000000">
        <w:rPr>
          <w:rtl w:val="0"/>
        </w:rPr>
        <w:t xml:space="preserve">2. Modelar la predicción de litio: Diseñar y entrenar algoritmos de aprendizaje automático, para predecir el contenido de Li en suelos, adaptando la metodología de Pereira et al. (2025) al contexto geológico de Colombia.</w:t>
      </w:r>
    </w:p>
    <w:p w:rsidR="00000000" w:rsidDel="00000000" w:rsidP="00000000" w:rsidRDefault="00000000" w:rsidRPr="00000000" w14:paraId="0000002A">
      <w:pPr>
        <w:jc w:val="both"/>
        <w:rPr/>
      </w:pPr>
      <w:r w:rsidDel="00000000" w:rsidR="00000000" w:rsidRPr="00000000">
        <w:rPr>
          <w:rtl w:val="0"/>
        </w:rPr>
        <w:t xml:space="preserve">3. Evaluar la eficacia y precisión de los modelos: Evaluar el desempeño de los modelos predictivos mediante métricas clave como el coeficiente de determinación, el error cuadrático medio y la desviación de predicción residual para la predicción de contenido de Li, y la precisión general, con el objetivo de seleccionar el algoritmo más robusto para la exploración en Colombia.</w:t>
      </w:r>
    </w:p>
    <w:p w:rsidR="00000000" w:rsidDel="00000000" w:rsidP="00000000" w:rsidRDefault="00000000" w:rsidRPr="00000000" w14:paraId="0000002B">
      <w:pPr>
        <w:jc w:val="both"/>
        <w:rPr/>
      </w:pPr>
      <w:r w:rsidDel="00000000" w:rsidR="00000000" w:rsidRPr="00000000">
        <w:rPr>
          <w:rtl w:val="0"/>
        </w:rPr>
        <w:t xml:space="preserve">4. Generar herramientas de visualización interactiva: Crear visualizaciones de datos interactivas (utilizando herramientas como Pandas, Matplotlib, y Seaborn) que permitan explorar y comunicar claramente los patrones geoquímicos identificados y los resultados de las predicciones de los modelos de Machine Learning, facilitando así la toma de decisiones informada por parte del Servicio Geológico Colombiano y empresas exploradoras.</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rtl w:val="0"/>
        </w:rPr>
        <w:br w:type="textWrapping"/>
      </w:r>
      <w:r w:rsidDel="00000000" w:rsidR="00000000" w:rsidRPr="00000000">
        <w:rPr>
          <w:b w:val="1"/>
          <w:sz w:val="24"/>
          <w:szCs w:val="24"/>
          <w:rtl w:val="0"/>
        </w:rPr>
        <w:t xml:space="preserve">Dataset</w:t>
      </w:r>
      <w:r w:rsidDel="00000000" w:rsidR="00000000" w:rsidRPr="00000000">
        <w:rPr>
          <w:rtl w:val="0"/>
        </w:rPr>
      </w:r>
    </w:p>
    <w:tbl>
      <w:tblPr>
        <w:tblStyle w:val="Table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0"/>
        <w:gridCol w:w="6330"/>
        <w:tblGridChange w:id="0">
          <w:tblGrid>
            <w:gridCol w:w="2310"/>
            <w:gridCol w:w="6330"/>
          </w:tblGrid>
        </w:tblGridChange>
      </w:tblGrid>
      <w:tr>
        <w:trPr>
          <w:cantSplit w:val="0"/>
          <w:tblHeader w:val="0"/>
        </w:trPr>
        <w:tc>
          <w:tcPr/>
          <w:p w:rsidR="00000000" w:rsidDel="00000000" w:rsidP="00000000" w:rsidRDefault="00000000" w:rsidRPr="00000000" w14:paraId="0000002E">
            <w:pPr>
              <w:jc w:val="both"/>
              <w:rPr/>
            </w:pPr>
            <w:r w:rsidDel="00000000" w:rsidR="00000000" w:rsidRPr="00000000">
              <w:rPr>
                <w:b w:val="1"/>
                <w:rtl w:val="0"/>
              </w:rPr>
              <w:t xml:space="preserve">Fuente Primaria</w:t>
            </w:r>
            <w:r w:rsidDel="00000000" w:rsidR="00000000" w:rsidRPr="00000000">
              <w:rPr>
                <w:rtl w:val="0"/>
              </w:rPr>
            </w:r>
          </w:p>
        </w:tc>
        <w:tc>
          <w:tcPr/>
          <w:p w:rsidR="00000000" w:rsidDel="00000000" w:rsidP="00000000" w:rsidRDefault="00000000" w:rsidRPr="00000000" w14:paraId="0000002F">
            <w:pPr>
              <w:jc w:val="both"/>
              <w:rPr/>
            </w:pPr>
            <w:r w:rsidDel="00000000" w:rsidR="00000000" w:rsidRPr="00000000">
              <w:rPr>
                <w:rtl w:val="0"/>
              </w:rPr>
              <w:t xml:space="preserve">Datos geoquímicos de rocas y sedimentos publicados en bases de datos libres del Servicio Geológico Colombiano (SGC)</w:t>
            </w:r>
          </w:p>
        </w:tc>
      </w:tr>
      <w:tr>
        <w:trPr>
          <w:cantSplit w:val="0"/>
          <w:tblHeader w:val="0"/>
        </w:trPr>
        <w:tc>
          <w:tcPr/>
          <w:p w:rsidR="00000000" w:rsidDel="00000000" w:rsidP="00000000" w:rsidRDefault="00000000" w:rsidRPr="00000000" w14:paraId="00000030">
            <w:pPr>
              <w:jc w:val="both"/>
              <w:rPr/>
            </w:pPr>
            <w:r w:rsidDel="00000000" w:rsidR="00000000" w:rsidRPr="00000000">
              <w:rPr>
                <w:b w:val="1"/>
                <w:rtl w:val="0"/>
              </w:rPr>
              <w:t xml:space="preserve">Enlace de Descarga</w:t>
            </w:r>
            <w:r w:rsidDel="00000000" w:rsidR="00000000" w:rsidRPr="00000000">
              <w:rPr>
                <w:rtl w:val="0"/>
              </w:rPr>
            </w:r>
          </w:p>
        </w:tc>
        <w:tc>
          <w:tcPr/>
          <w:p w:rsidR="00000000" w:rsidDel="00000000" w:rsidP="00000000" w:rsidRDefault="00000000" w:rsidRPr="00000000" w14:paraId="00000031">
            <w:pPr>
              <w:jc w:val="both"/>
              <w:rPr/>
            </w:pPr>
            <w:r w:rsidDel="00000000" w:rsidR="00000000" w:rsidRPr="00000000">
              <w:rPr>
                <w:rtl w:val="0"/>
              </w:rPr>
              <w:t xml:space="preserve">https://www2.sgc.gov.co/sgc/mapas/Paginas/Bases-Datos.aspx </w:t>
            </w:r>
          </w:p>
        </w:tc>
      </w:tr>
      <w:tr>
        <w:trPr>
          <w:cantSplit w:val="0"/>
          <w:tblHeader w:val="0"/>
        </w:trPr>
        <w:tc>
          <w:tcPr/>
          <w:p w:rsidR="00000000" w:rsidDel="00000000" w:rsidP="00000000" w:rsidRDefault="00000000" w:rsidRPr="00000000" w14:paraId="00000032">
            <w:pPr>
              <w:jc w:val="both"/>
              <w:rPr/>
            </w:pPr>
            <w:r w:rsidDel="00000000" w:rsidR="00000000" w:rsidRPr="00000000">
              <w:rPr>
                <w:b w:val="1"/>
                <w:rtl w:val="0"/>
              </w:rPr>
              <w:t xml:space="preserve">Licencia</w:t>
            </w:r>
            <w:r w:rsidDel="00000000" w:rsidR="00000000" w:rsidRPr="00000000">
              <w:rPr>
                <w:rtl w:val="0"/>
              </w:rPr>
            </w:r>
          </w:p>
        </w:tc>
        <w:tc>
          <w:tcPr/>
          <w:p w:rsidR="00000000" w:rsidDel="00000000" w:rsidP="00000000" w:rsidRDefault="00000000" w:rsidRPr="00000000" w14:paraId="00000033">
            <w:pPr>
              <w:jc w:val="both"/>
              <w:rPr/>
            </w:pPr>
            <w:r w:rsidDel="00000000" w:rsidR="00000000" w:rsidRPr="00000000">
              <w:rPr>
                <w:rtl w:val="0"/>
              </w:rPr>
              <w:t xml:space="preserve">Los datos provienen de bases de datos libres</w:t>
            </w:r>
          </w:p>
        </w:tc>
      </w:tr>
    </w:tbl>
    <w:p w:rsidR="00000000" w:rsidDel="00000000" w:rsidP="00000000" w:rsidRDefault="00000000" w:rsidRPr="00000000" w14:paraId="00000034">
      <w:pPr>
        <w:jc w:val="both"/>
        <w:rPr/>
      </w:pPr>
      <w:r w:rsidDel="00000000" w:rsidR="00000000" w:rsidRPr="00000000">
        <w:rPr>
          <w:rtl w:val="0"/>
        </w:rPr>
        <w:t xml:space="preserve"> </w:t>
      </w:r>
    </w:p>
    <w:p w:rsidR="00000000" w:rsidDel="00000000" w:rsidP="00000000" w:rsidRDefault="00000000" w:rsidRPr="00000000" w14:paraId="00000035">
      <w:pPr>
        <w:jc w:val="both"/>
        <w:rPr>
          <w:b w:val="1"/>
        </w:rPr>
      </w:pPr>
      <w:r w:rsidDel="00000000" w:rsidR="00000000" w:rsidRPr="00000000">
        <w:rPr>
          <w:b w:val="1"/>
          <w:rtl w:val="0"/>
        </w:rPr>
        <w:t xml:space="preserve">Número de Registros, Variables y Periodo de Cobertura</w:t>
      </w:r>
    </w:p>
    <w:p w:rsidR="00000000" w:rsidDel="00000000" w:rsidP="00000000" w:rsidRDefault="00000000" w:rsidRPr="00000000" w14:paraId="00000036">
      <w:pPr>
        <w:jc w:val="both"/>
        <w:rPr/>
      </w:pPr>
      <w:r w:rsidDel="00000000" w:rsidR="00000000" w:rsidRPr="00000000">
        <w:rPr>
          <w:rtl w:val="0"/>
        </w:rPr>
        <w:t xml:space="preserve">El conjunto de datos debe ser estructurado de modo que cumpla con los requisitos del modelado de ML, basándose en la metodología validada en el estudio de referencia (Pereira et al., 2025).</w:t>
      </w:r>
    </w:p>
    <w:p w:rsidR="00000000" w:rsidDel="00000000" w:rsidP="00000000" w:rsidRDefault="00000000" w:rsidRPr="00000000" w14:paraId="00000037">
      <w:pPr>
        <w:jc w:val="both"/>
        <w:rPr/>
      </w:pPr>
      <w:r w:rsidDel="00000000" w:rsidR="00000000" w:rsidRPr="00000000">
        <w:rPr>
          <w:rtl w:val="0"/>
        </w:rPr>
        <w:t xml:space="preserve">• </w:t>
      </w:r>
      <w:r w:rsidDel="00000000" w:rsidR="00000000" w:rsidRPr="00000000">
        <w:rPr>
          <w:b w:val="1"/>
          <w:rtl w:val="0"/>
        </w:rPr>
        <w:t xml:space="preserve">Número de variables:</w:t>
      </w:r>
      <w:r w:rsidDel="00000000" w:rsidR="00000000" w:rsidRPr="00000000">
        <w:rPr>
          <w:rtl w:val="0"/>
        </w:rPr>
        <w:t xml:space="preserve"> 17 variables de entrada/predicción (concentraciones de elementos trazadores y la relación K/Rb) más la variable objetiva (Li).</w:t>
      </w:r>
    </w:p>
    <w:p w:rsidR="00000000" w:rsidDel="00000000" w:rsidP="00000000" w:rsidRDefault="00000000" w:rsidRPr="00000000" w14:paraId="00000038">
      <w:pPr>
        <w:jc w:val="both"/>
        <w:rPr/>
      </w:pPr>
      <w:r w:rsidDel="00000000" w:rsidR="00000000" w:rsidRPr="00000000">
        <w:rPr>
          <w:rtl w:val="0"/>
        </w:rPr>
        <w:t xml:space="preserve">• </w:t>
      </w:r>
      <w:r w:rsidDel="00000000" w:rsidR="00000000" w:rsidRPr="00000000">
        <w:rPr>
          <w:b w:val="1"/>
          <w:rtl w:val="0"/>
        </w:rPr>
        <w:t xml:space="preserve">Número de registros:</w:t>
      </w:r>
      <w:r w:rsidDel="00000000" w:rsidR="00000000" w:rsidRPr="00000000">
        <w:rPr>
          <w:rtl w:val="0"/>
        </w:rPr>
        <w:t xml:space="preserve"> El número exacto de registros iniciales en la base de datos del Servicio Geológico Colombiano es, 168656 filas x 233 columnas. Sin embargo,  el dataset final solo contiene los 97 datos que cumplen con los requisitos analíticos requeridos para el modelo ML (detección de Li y elementos trazadores). </w:t>
      </w:r>
    </w:p>
    <w:p w:rsidR="00000000" w:rsidDel="00000000" w:rsidP="00000000" w:rsidRDefault="00000000" w:rsidRPr="00000000" w14:paraId="00000039">
      <w:pPr>
        <w:jc w:val="both"/>
        <w:rPr/>
      </w:pPr>
      <w:r w:rsidDel="00000000" w:rsidR="00000000" w:rsidRPr="00000000">
        <w:rPr>
          <w:rtl w:val="0"/>
        </w:rPr>
        <w:t xml:space="preserve">• </w:t>
      </w:r>
      <w:r w:rsidDel="00000000" w:rsidR="00000000" w:rsidRPr="00000000">
        <w:rPr>
          <w:b w:val="1"/>
          <w:rtl w:val="0"/>
        </w:rPr>
        <w:t xml:space="preserve">Periodo de Cobertura:</w:t>
      </w:r>
      <w:r w:rsidDel="00000000" w:rsidR="00000000" w:rsidRPr="00000000">
        <w:rPr>
          <w:rtl w:val="0"/>
        </w:rPr>
        <w:t xml:space="preserve"> Los datos disponibles en la base de datos fueron obtenidos hasta el año 2012.</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b w:val="1"/>
          <w:rtl w:val="0"/>
        </w:rPr>
        <w:t xml:space="preserve">Diccionario de Variables</w:t>
      </w:r>
    </w:p>
    <w:p w:rsidR="00000000" w:rsidDel="00000000" w:rsidP="00000000" w:rsidRDefault="00000000" w:rsidRPr="00000000" w14:paraId="0000003C">
      <w:pPr>
        <w:jc w:val="both"/>
        <w:rPr/>
      </w:pPr>
      <w:r w:rsidDel="00000000" w:rsidR="00000000" w:rsidRPr="00000000">
        <w:rPr>
          <w:rtl w:val="0"/>
        </w:rPr>
        <w:t xml:space="preserve">El dataset combina mediciones de alta precisión del elemento objetivo (Li, obtenido típicamente por ICP-OES en el estudio de referencia) con las concentraciones de elementos trazadores medidos por pXRF. Todas las concentraciones de elementos se expresan en miligramos*kilogramo (o ppm).</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tbl>
      <w:tblPr>
        <w:tblStyle w:val="Table2"/>
        <w:tblW w:w="8640.0" w:type="dxa"/>
        <w:jc w:val="left"/>
        <w:tblLayout w:type="fixed"/>
        <w:tblLook w:val="0400"/>
      </w:tblPr>
      <w:tblGrid>
        <w:gridCol w:w="1125"/>
        <w:gridCol w:w="1121"/>
        <w:gridCol w:w="4217"/>
        <w:gridCol w:w="2177"/>
        <w:tblGridChange w:id="0">
          <w:tblGrid>
            <w:gridCol w:w="1125"/>
            <w:gridCol w:w="1121"/>
            <w:gridCol w:w="4217"/>
            <w:gridCol w:w="217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2">
            <w:pPr>
              <w:jc w:val="center"/>
              <w:rPr>
                <w:b w:val="1"/>
                <w:sz w:val="20"/>
                <w:szCs w:val="20"/>
              </w:rPr>
            </w:pPr>
            <w:r w:rsidDel="00000000" w:rsidR="00000000" w:rsidRPr="00000000">
              <w:rPr>
                <w:b w:val="1"/>
                <w:sz w:val="20"/>
                <w:szCs w:val="20"/>
                <w:rtl w:val="0"/>
              </w:rPr>
              <w:t xml:space="preserve">Nombre de la Variable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3">
            <w:pPr>
              <w:jc w:val="center"/>
              <w:rPr>
                <w:b w:val="1"/>
                <w:sz w:val="20"/>
                <w:szCs w:val="20"/>
              </w:rPr>
            </w:pPr>
            <w:r w:rsidDel="00000000" w:rsidR="00000000" w:rsidRPr="00000000">
              <w:rPr>
                <w:b w:val="1"/>
                <w:sz w:val="20"/>
                <w:szCs w:val="20"/>
                <w:rtl w:val="0"/>
              </w:rPr>
              <w:t xml:space="preserve">Tipo de Dato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4">
            <w:pPr>
              <w:jc w:val="center"/>
              <w:rPr>
                <w:b w:val="1"/>
                <w:sz w:val="20"/>
                <w:szCs w:val="20"/>
              </w:rPr>
            </w:pPr>
            <w:r w:rsidDel="00000000" w:rsidR="00000000" w:rsidRPr="00000000">
              <w:rPr>
                <w:b w:val="1"/>
                <w:sz w:val="20"/>
                <w:szCs w:val="20"/>
                <w:rtl w:val="0"/>
              </w:rPr>
              <w:t xml:space="preserve">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5">
            <w:pPr>
              <w:jc w:val="center"/>
              <w:rPr>
                <w:b w:val="1"/>
                <w:sz w:val="20"/>
                <w:szCs w:val="20"/>
              </w:rPr>
            </w:pPr>
            <w:r w:rsidDel="00000000" w:rsidR="00000000" w:rsidRPr="00000000">
              <w:rPr>
                <w:b w:val="1"/>
                <w:sz w:val="20"/>
                <w:szCs w:val="20"/>
                <w:rtl w:val="0"/>
              </w:rPr>
              <w:t xml:space="preserve">Método Analítico de Referencia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Li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Concentración de Litio, variable objetivo del modelo ML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9">
            <w:pPr>
              <w:jc w:val="both"/>
              <w:rPr>
                <w:sz w:val="20"/>
                <w:szCs w:val="20"/>
              </w:rPr>
            </w:pPr>
            <w:r w:rsidDel="00000000" w:rsidR="00000000" w:rsidRPr="00000000">
              <w:rPr>
                <w:sz w:val="20"/>
                <w:szCs w:val="20"/>
                <w:rtl w:val="0"/>
              </w:rPr>
              <w:t xml:space="preserve">ICP-OES (Espectroscopia de Emisión Óptica).</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Concentración de Potasio.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pXRF (Fluorescencia de Rayos X Portátil).</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Rb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Concentración de Rubidio.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K/Rb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Razón K/Rb. Variable crucial que correlaciona negativamente con el grado de fraccionamiento de las pegmatitas LCT y su prospectividad.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jc w:val="both"/>
              <w:rPr>
                <w:sz w:val="20"/>
                <w:szCs w:val="20"/>
              </w:rPr>
            </w:pPr>
            <w:r w:rsidDel="00000000" w:rsidR="00000000" w:rsidRPr="00000000">
              <w:rPr>
                <w:sz w:val="20"/>
                <w:szCs w:val="20"/>
                <w:rtl w:val="0"/>
              </w:rPr>
              <w:t xml:space="preserve">Derivada de 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Cs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Concentración de Cesio. Importante trazador en pegmatitas LCT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jc w:val="both"/>
              <w:rPr>
                <w:sz w:val="20"/>
                <w:szCs w:val="20"/>
              </w:rPr>
            </w:pPr>
            <w:r w:rsidDel="00000000" w:rsidR="00000000" w:rsidRPr="00000000">
              <w:rPr>
                <w:sz w:val="20"/>
                <w:szCs w:val="20"/>
                <w:rtl w:val="0"/>
              </w:rPr>
              <w:t xml:space="preserve">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Concentración de Uranio.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jc w:val="both"/>
              <w:rPr>
                <w:sz w:val="20"/>
                <w:szCs w:val="20"/>
              </w:rPr>
            </w:pPr>
            <w:r w:rsidDel="00000000" w:rsidR="00000000" w:rsidRPr="00000000">
              <w:rPr>
                <w:sz w:val="20"/>
                <w:szCs w:val="20"/>
                <w:rtl w:val="0"/>
              </w:rPr>
              <w:t xml:space="preserve">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Concentración de Arsénico.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Th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Concentración de Torio.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Concentración de Wolframio.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Sc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Concentración de Escandio.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Fe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Concentración de Hierro.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Concentración de Itrio.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Tb</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Concentración de Terbio.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Ga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Concentración de Galio.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Ln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Concentración de Lantano.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Ho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jc w:val="both"/>
              <w:rPr>
                <w:sz w:val="20"/>
                <w:szCs w:val="20"/>
              </w:rPr>
            </w:pPr>
            <w:r w:rsidDel="00000000" w:rsidR="00000000" w:rsidRPr="00000000">
              <w:rPr>
                <w:sz w:val="20"/>
                <w:szCs w:val="20"/>
                <w:rtl w:val="0"/>
              </w:rPr>
              <w:t xml:space="preserve">Concentración de Holmio.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Concentración de Cobalto.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Er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Concentración de Erbio.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pXRF.</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Zn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Numérico (Float)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Concentración de Zinc.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pXRF.</w:t>
            </w:r>
          </w:p>
        </w:tc>
      </w:tr>
    </w:tbl>
    <w:p w:rsidR="00000000" w:rsidDel="00000000" w:rsidP="00000000" w:rsidRDefault="00000000" w:rsidRPr="00000000" w14:paraId="00000092">
      <w:pPr>
        <w:jc w:val="both"/>
        <w:rPr>
          <w:b w:val="1"/>
        </w:rPr>
      </w:pPr>
      <w:r w:rsidDel="00000000" w:rsidR="00000000" w:rsidRPr="00000000">
        <w:rPr>
          <w:b w:val="1"/>
          <w:rtl w:val="0"/>
        </w:rPr>
        <w:t xml:space="preserve"> </w:t>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Limitaciones y sesgos del dataset</w:t>
      </w:r>
    </w:p>
    <w:p w:rsidR="00000000" w:rsidDel="00000000" w:rsidP="00000000" w:rsidRDefault="00000000" w:rsidRPr="00000000" w14:paraId="00000095">
      <w:pPr>
        <w:jc w:val="both"/>
        <w:rPr/>
      </w:pPr>
      <w:r w:rsidDel="00000000" w:rsidR="00000000" w:rsidRPr="00000000">
        <w:rPr>
          <w:rtl w:val="0"/>
        </w:rPr>
        <w:t xml:space="preserve">La adaptación de la metodología de Pereira et al. (2025) al contexto colombiano introduce limitaciones y sesgos que deben ser considerados: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rPr>
          <w:b w:val="1"/>
          <w:rtl w:val="0"/>
        </w:rPr>
        <w:t xml:space="preserve">Limitaciones intrínsecas a la detección de Litio</w:t>
      </w:r>
    </w:p>
    <w:p w:rsidR="00000000" w:rsidDel="00000000" w:rsidP="00000000" w:rsidRDefault="00000000" w:rsidRPr="00000000" w14:paraId="00000098">
      <w:pPr>
        <w:jc w:val="both"/>
        <w:rPr/>
      </w:pPr>
      <w:r w:rsidDel="00000000" w:rsidR="00000000" w:rsidRPr="00000000">
        <w:rPr>
          <w:rtl w:val="0"/>
        </w:rPr>
        <w:t xml:space="preserve">• </w:t>
      </w:r>
      <w:r w:rsidDel="00000000" w:rsidR="00000000" w:rsidRPr="00000000">
        <w:rPr>
          <w:b w:val="1"/>
          <w:rtl w:val="0"/>
        </w:rPr>
        <w:t xml:space="preserve">Detección Indirecta:</w:t>
      </w:r>
      <w:r w:rsidDel="00000000" w:rsidR="00000000" w:rsidRPr="00000000">
        <w:rPr>
          <w:rtl w:val="0"/>
        </w:rPr>
        <w:t xml:space="preserve"> La principal limitación es que el pXRF no puede detectar directamente el litio (Li). La metodología se basa en predecir las concentraciones de Li a partir de la correlación con elementos trazadores.</w:t>
      </w:r>
    </w:p>
    <w:p w:rsidR="00000000" w:rsidDel="00000000" w:rsidP="00000000" w:rsidRDefault="00000000" w:rsidRPr="00000000" w14:paraId="00000099">
      <w:pPr>
        <w:jc w:val="both"/>
        <w:rPr/>
      </w:pPr>
      <w:r w:rsidDel="00000000" w:rsidR="00000000" w:rsidRPr="00000000">
        <w:rPr>
          <w:rtl w:val="0"/>
        </w:rPr>
        <w:t xml:space="preserve">• </w:t>
      </w:r>
      <w:r w:rsidDel="00000000" w:rsidR="00000000" w:rsidRPr="00000000">
        <w:rPr>
          <w:b w:val="1"/>
          <w:rtl w:val="0"/>
        </w:rPr>
        <w:t xml:space="preserve">Dependencia de datos de referencia:</w:t>
      </w:r>
      <w:r w:rsidDel="00000000" w:rsidR="00000000" w:rsidRPr="00000000">
        <w:rPr>
          <w:rtl w:val="0"/>
        </w:rPr>
        <w:t xml:space="preserve"> El modelado (ML) requiere que el conjunto de datos posea tanto las concentraciones de los elementos trazadores (pXRF) como las concentraciones reales de Li medidas con técnicas de laboratorio más precisas, como ICP-OES, para el entrenamiento inicial.</w:t>
      </w:r>
    </w:p>
    <w:p w:rsidR="00000000" w:rsidDel="00000000" w:rsidP="00000000" w:rsidRDefault="00000000" w:rsidRPr="00000000" w14:paraId="0000009A">
      <w:pPr>
        <w:jc w:val="both"/>
        <w:rPr>
          <w:b w:val="1"/>
        </w:rPr>
      </w:pPr>
      <w:r w:rsidDel="00000000" w:rsidR="00000000" w:rsidRPr="00000000">
        <w:rPr>
          <w:b w:val="1"/>
          <w:rtl w:val="0"/>
        </w:rPr>
        <w:t xml:space="preserve">Sesgos geológicos (Contexto colombiano)</w:t>
      </w:r>
    </w:p>
    <w:p w:rsidR="00000000" w:rsidDel="00000000" w:rsidP="00000000" w:rsidRDefault="00000000" w:rsidRPr="00000000" w14:paraId="0000009B">
      <w:pPr>
        <w:jc w:val="both"/>
        <w:rPr/>
      </w:pPr>
      <w:r w:rsidDel="00000000" w:rsidR="00000000" w:rsidRPr="00000000">
        <w:rPr>
          <w:rtl w:val="0"/>
        </w:rPr>
        <w:t xml:space="preserve">• </w:t>
      </w:r>
      <w:r w:rsidDel="00000000" w:rsidR="00000000" w:rsidRPr="00000000">
        <w:rPr>
          <w:b w:val="1"/>
          <w:rtl w:val="0"/>
        </w:rPr>
        <w:t xml:space="preserve">Diferencias geológicas y climáticas:</w:t>
      </w:r>
      <w:r w:rsidDel="00000000" w:rsidR="00000000" w:rsidRPr="00000000">
        <w:rPr>
          <w:rtl w:val="0"/>
        </w:rPr>
        <w:t xml:space="preserve"> El estudio de referencia se realizó en suelos (Holoceno) de terrenos glaciados con clima húmedo y templado (Wisconsin/Michigan). Colombia presenta una amplia variedad de climas, tipos de suelo y rocas. Es crucial comprender cómo los procesos de meteorización y formación de suelos colombianos, influyen en la dispersión y concentración de Li y sus trazadores. </w:t>
      </w:r>
    </w:p>
    <w:p w:rsidR="00000000" w:rsidDel="00000000" w:rsidP="00000000" w:rsidRDefault="00000000" w:rsidRPr="00000000" w14:paraId="0000009C">
      <w:pPr>
        <w:jc w:val="both"/>
        <w:rPr/>
      </w:pPr>
      <w:r w:rsidDel="00000000" w:rsidR="00000000" w:rsidRPr="00000000">
        <w:rPr>
          <w:rtl w:val="0"/>
        </w:rPr>
        <w:t xml:space="preserve">• </w:t>
      </w:r>
      <w:r w:rsidDel="00000000" w:rsidR="00000000" w:rsidRPr="00000000">
        <w:rPr>
          <w:b w:val="1"/>
          <w:rtl w:val="0"/>
        </w:rPr>
        <w:t xml:space="preserve">Contaminación de la muestra:</w:t>
      </w:r>
      <w:r w:rsidDel="00000000" w:rsidR="00000000" w:rsidRPr="00000000">
        <w:rPr>
          <w:rtl w:val="0"/>
        </w:rPr>
        <w:t xml:space="preserve"> En terrenos con topografía empinada, puede ocurrir contaminación de los suelos por elementos solubles o partículas detríticas transportadas ladera abajo (escorrentía), especialmente cerca del contacto con rocas encajables de composición contrastante.</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Limitaciones relacionadas con la prospección</w:t>
      </w:r>
    </w:p>
    <w:p w:rsidR="00000000" w:rsidDel="00000000" w:rsidP="00000000" w:rsidRDefault="00000000" w:rsidRPr="00000000" w14:paraId="0000009F">
      <w:pPr>
        <w:jc w:val="both"/>
        <w:rPr/>
      </w:pPr>
      <w:r w:rsidDel="00000000" w:rsidR="00000000" w:rsidRPr="00000000">
        <w:rPr>
          <w:rtl w:val="0"/>
        </w:rPr>
        <w:t xml:space="preserve">• </w:t>
      </w:r>
      <w:r w:rsidDel="00000000" w:rsidR="00000000" w:rsidRPr="00000000">
        <w:rPr>
          <w:b w:val="1"/>
          <w:rtl w:val="0"/>
        </w:rPr>
        <w:t xml:space="preserve">Alcance geográfico limitado:</w:t>
      </w:r>
      <w:r w:rsidDel="00000000" w:rsidR="00000000" w:rsidRPr="00000000">
        <w:rPr>
          <w:rtl w:val="0"/>
        </w:rPr>
        <w:t xml:space="preserve"> La metodología es aplicable en suelos cuando se trata de perfiles de poco espesor formados directamente sobre el lecho rocoso. Posiblemente, no es apta para explorar depósitos de sedimentos distales o en perfiles de suelos gruesos (decenas o cientos de metros).</w:t>
      </w:r>
    </w:p>
    <w:p w:rsidR="00000000" w:rsidDel="00000000" w:rsidP="00000000" w:rsidRDefault="00000000" w:rsidRPr="00000000" w14:paraId="000000A0">
      <w:pPr>
        <w:jc w:val="both"/>
        <w:rPr/>
      </w:pPr>
      <w:r w:rsidDel="00000000" w:rsidR="00000000" w:rsidRPr="00000000">
        <w:rPr>
          <w:rtl w:val="0"/>
        </w:rPr>
        <w:t xml:space="preserve">• </w:t>
      </w:r>
      <w:r w:rsidDel="00000000" w:rsidR="00000000" w:rsidRPr="00000000">
        <w:rPr>
          <w:b w:val="1"/>
          <w:rtl w:val="0"/>
        </w:rPr>
        <w:t xml:space="preserve">Heterogeneidad de las pegmatitas:</w:t>
      </w:r>
      <w:r w:rsidDel="00000000" w:rsidR="00000000" w:rsidRPr="00000000">
        <w:rPr>
          <w:rtl w:val="0"/>
        </w:rPr>
        <w:t xml:space="preserve"> Las pegmatitas LCT son cuerpos altamente heterogéneos y con zonación interna discontinua. Esta variabilidad natural puede explicar la gran dispersión de los puntos de datos y afectar la precisión de los modelos.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pStyle w:val="Heading1"/>
        <w:jc w:val="center"/>
        <w:rPr>
          <w:rFonts w:ascii="Cambria" w:cs="Cambria" w:eastAsia="Cambria" w:hAnsi="Cambria"/>
          <w:sz w:val="30"/>
          <w:szCs w:val="30"/>
        </w:rPr>
      </w:pPr>
      <w:r w:rsidDel="00000000" w:rsidR="00000000" w:rsidRPr="00000000">
        <w:rPr>
          <w:rFonts w:ascii="Cambria" w:cs="Cambria" w:eastAsia="Cambria" w:hAnsi="Cambria"/>
          <w:color w:val="000000"/>
          <w:sz w:val="24"/>
          <w:szCs w:val="24"/>
          <w:rtl w:val="0"/>
        </w:rPr>
        <w:t xml:space="preserve">Metodología</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P</w:t>
      </w:r>
      <w:r w:rsidDel="00000000" w:rsidR="00000000" w:rsidRPr="00000000">
        <w:rPr>
          <w:rtl w:val="0"/>
        </w:rPr>
        <w:t xml:space="preserve">ara predecir potenciales depósitos de Litio (Li) mediante datos geoquímicos de rocas y sedimentos  y algoritmos de Machine Learning (ML) en el contexto geológico de Colombia, se tomó como base el enfoque exitoso demostrado en el estudio de Pereira et al. (2025). A continuación se describe la metodología implementada en el presente estudio.</w:t>
      </w:r>
    </w:p>
    <w:p w:rsidR="00000000" w:rsidDel="00000000" w:rsidP="00000000" w:rsidRDefault="00000000" w:rsidRPr="00000000" w14:paraId="000000A5">
      <w:pPr>
        <w:jc w:val="both"/>
        <w:rPr>
          <w:b w:val="1"/>
        </w:rPr>
      </w:pPr>
      <w:r w:rsidDel="00000000" w:rsidR="00000000" w:rsidRPr="00000000">
        <w:rPr>
          <w:b w:val="1"/>
          <w:rtl w:val="0"/>
        </w:rPr>
        <w:t xml:space="preserve">Herramientas y librerías usadas</w:t>
      </w:r>
    </w:p>
    <w:p w:rsidR="00000000" w:rsidDel="00000000" w:rsidP="00000000" w:rsidRDefault="00000000" w:rsidRPr="00000000" w14:paraId="000000A6">
      <w:pPr>
        <w:jc w:val="both"/>
        <w:rPr/>
      </w:pPr>
      <w:r w:rsidDel="00000000" w:rsidR="00000000" w:rsidRPr="00000000">
        <w:rPr>
          <w:rtl w:val="0"/>
        </w:rPr>
        <w:t xml:space="preserve">Para la gestión de datos, análisis exploratorio, modelado de Machine Learning y visualización, se emplearán las siguientes herramientas:</w:t>
      </w:r>
    </w:p>
    <w:tbl>
      <w:tblPr>
        <w:tblStyle w:val="Table3"/>
        <w:tblW w:w="8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2160"/>
        <w:gridCol w:w="4515"/>
        <w:tblGridChange w:id="0">
          <w:tblGrid>
            <w:gridCol w:w="1785"/>
            <w:gridCol w:w="2160"/>
            <w:gridCol w:w="4515"/>
          </w:tblGrid>
        </w:tblGridChange>
      </w:tblGrid>
      <w:tr>
        <w:trPr>
          <w:cantSplit w:val="0"/>
          <w:tblHeader w:val="0"/>
        </w:trPr>
        <w:tc>
          <w:tcPr>
            <w:vAlign w:val="center"/>
          </w:tcPr>
          <w:p w:rsidR="00000000" w:rsidDel="00000000" w:rsidP="00000000" w:rsidRDefault="00000000" w:rsidRPr="00000000" w14:paraId="000000A7">
            <w:pPr>
              <w:jc w:val="center"/>
              <w:rPr>
                <w:b w:val="1"/>
                <w:sz w:val="20"/>
                <w:szCs w:val="20"/>
              </w:rPr>
            </w:pPr>
            <w:r w:rsidDel="00000000" w:rsidR="00000000" w:rsidRPr="00000000">
              <w:rPr>
                <w:b w:val="1"/>
                <w:sz w:val="20"/>
                <w:szCs w:val="20"/>
                <w:rtl w:val="0"/>
              </w:rPr>
              <w:t xml:space="preserve">Categoría</w:t>
            </w:r>
          </w:p>
        </w:tc>
        <w:tc>
          <w:tcPr>
            <w:vAlign w:val="center"/>
          </w:tcPr>
          <w:p w:rsidR="00000000" w:rsidDel="00000000" w:rsidP="00000000" w:rsidRDefault="00000000" w:rsidRPr="00000000" w14:paraId="000000A8">
            <w:pPr>
              <w:jc w:val="center"/>
              <w:rPr>
                <w:b w:val="1"/>
                <w:sz w:val="20"/>
                <w:szCs w:val="20"/>
              </w:rPr>
            </w:pPr>
            <w:r w:rsidDel="00000000" w:rsidR="00000000" w:rsidRPr="00000000">
              <w:rPr>
                <w:b w:val="1"/>
                <w:sz w:val="20"/>
                <w:szCs w:val="20"/>
                <w:rtl w:val="0"/>
              </w:rPr>
              <w:t xml:space="preserve">Herramienta o Librería</w:t>
            </w:r>
          </w:p>
        </w:tc>
        <w:tc>
          <w:tcPr>
            <w:vAlign w:val="center"/>
          </w:tcPr>
          <w:p w:rsidR="00000000" w:rsidDel="00000000" w:rsidP="00000000" w:rsidRDefault="00000000" w:rsidRPr="00000000" w14:paraId="000000A9">
            <w:pPr>
              <w:jc w:val="center"/>
              <w:rPr>
                <w:b w:val="1"/>
                <w:sz w:val="20"/>
                <w:szCs w:val="20"/>
              </w:rPr>
            </w:pPr>
            <w:r w:rsidDel="00000000" w:rsidR="00000000" w:rsidRPr="00000000">
              <w:rPr>
                <w:b w:val="1"/>
                <w:sz w:val="20"/>
                <w:szCs w:val="20"/>
                <w:rtl w:val="0"/>
              </w:rPr>
              <w:t xml:space="preserve">Propósito</w:t>
            </w:r>
          </w:p>
        </w:tc>
      </w:tr>
      <w:tr>
        <w:trPr>
          <w:cantSplit w:val="0"/>
          <w:trHeight w:val="643.2158203125" w:hRule="atLeast"/>
          <w:tblHeader w:val="0"/>
        </w:trPr>
        <w:tc>
          <w:tcPr>
            <w:vAlign w:val="center"/>
          </w:tcPr>
          <w:p w:rsidR="00000000" w:rsidDel="00000000" w:rsidP="00000000" w:rsidRDefault="00000000" w:rsidRPr="00000000" w14:paraId="000000AA">
            <w:pPr>
              <w:jc w:val="both"/>
              <w:rPr>
                <w:sz w:val="20"/>
                <w:szCs w:val="20"/>
              </w:rPr>
            </w:pPr>
            <w:r w:rsidDel="00000000" w:rsidR="00000000" w:rsidRPr="00000000">
              <w:rPr>
                <w:b w:val="1"/>
                <w:sz w:val="20"/>
                <w:szCs w:val="20"/>
                <w:rtl w:val="0"/>
              </w:rPr>
              <w:t xml:space="preserve">Gestión de Datos</w:t>
            </w:r>
            <w:r w:rsidDel="00000000" w:rsidR="00000000" w:rsidRPr="00000000">
              <w:rPr>
                <w:rtl w:val="0"/>
              </w:rPr>
            </w:r>
          </w:p>
        </w:tc>
        <w:tc>
          <w:tcPr>
            <w:vAlign w:val="center"/>
          </w:tcPr>
          <w:p w:rsidR="00000000" w:rsidDel="00000000" w:rsidP="00000000" w:rsidRDefault="00000000" w:rsidRPr="00000000" w14:paraId="000000AB">
            <w:pPr>
              <w:jc w:val="both"/>
              <w:rPr>
                <w:sz w:val="20"/>
                <w:szCs w:val="20"/>
              </w:rPr>
            </w:pPr>
            <w:r w:rsidDel="00000000" w:rsidR="00000000" w:rsidRPr="00000000">
              <w:rPr>
                <w:sz w:val="20"/>
                <w:szCs w:val="20"/>
                <w:rtl w:val="0"/>
              </w:rPr>
              <w:t xml:space="preserve">MySQL, Access y Pandas(Python)</w:t>
            </w:r>
          </w:p>
        </w:tc>
        <w:tc>
          <w:tcPr>
            <w:vAlign w:val="center"/>
          </w:tcPr>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Estructuración y gestión de la base de datos geoquímica.</w:t>
            </w:r>
          </w:p>
        </w:tc>
      </w:tr>
      <w:tr>
        <w:trPr>
          <w:cantSplit w:val="0"/>
          <w:trHeight w:val="250" w:hRule="atLeast"/>
          <w:tblHeader w:val="0"/>
        </w:trPr>
        <w:tc>
          <w:tcPr>
            <w:vMerge w:val="restart"/>
            <w:vAlign w:val="center"/>
          </w:tcPr>
          <w:p w:rsidR="00000000" w:rsidDel="00000000" w:rsidP="00000000" w:rsidRDefault="00000000" w:rsidRPr="00000000" w14:paraId="000000AD">
            <w:pPr>
              <w:jc w:val="both"/>
              <w:rPr>
                <w:sz w:val="20"/>
                <w:szCs w:val="20"/>
              </w:rPr>
            </w:pPr>
            <w:r w:rsidDel="00000000" w:rsidR="00000000" w:rsidRPr="00000000">
              <w:rPr>
                <w:b w:val="1"/>
                <w:sz w:val="20"/>
                <w:szCs w:val="20"/>
                <w:rtl w:val="0"/>
              </w:rPr>
              <w:t xml:space="preserve">Librerías de ML</w:t>
            </w:r>
            <w:r w:rsidDel="00000000" w:rsidR="00000000" w:rsidRPr="00000000">
              <w:rPr>
                <w:rtl w:val="0"/>
              </w:rPr>
            </w:r>
          </w:p>
        </w:tc>
        <w:tc>
          <w:tcPr>
            <w:vAlign w:val="center"/>
          </w:tcPr>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MLP</w:t>
            </w:r>
          </w:p>
        </w:tc>
        <w:tc>
          <w:tcPr>
            <w:vAlign w:val="center"/>
          </w:tcPr>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Modelar relaciones no lineales entre variables geoquímicas y el litio (Li_ppm).</w:t>
            </w:r>
          </w:p>
        </w:tc>
      </w:tr>
      <w:tr>
        <w:trPr>
          <w:cantSplit w:val="0"/>
          <w:trHeight w:val="250" w:hRule="atLeast"/>
          <w:tblHeader w:val="0"/>
        </w:trPr>
        <w:tc>
          <w:tcPr>
            <w:vMerge w:val="continue"/>
            <w:vAlign w:val="center"/>
          </w:tcPr>
          <w:p w:rsidR="00000000" w:rsidDel="00000000" w:rsidP="00000000" w:rsidRDefault="00000000" w:rsidRPr="00000000" w14:paraId="000000B0">
            <w:pPr>
              <w:spacing w:after="0" w:before="0" w:line="240" w:lineRule="auto"/>
              <w:ind w:left="0" w:firstLine="0"/>
              <w:jc w:val="both"/>
              <w:rPr/>
            </w:pPr>
            <w:r w:rsidDel="00000000" w:rsidR="00000000" w:rsidRPr="00000000">
              <w:rPr>
                <w:rtl w:val="0"/>
              </w:rPr>
            </w:r>
          </w:p>
        </w:tc>
        <w:tc>
          <w:tcPr>
            <w:vAlign w:val="center"/>
          </w:tcPr>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Ridge Regression</w:t>
            </w:r>
          </w:p>
        </w:tc>
        <w:tc>
          <w:tcPr>
            <w:vAlign w:val="center"/>
          </w:tcPr>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Predecir Li_ppm penalizando coeficientes demasiado grandes.</w:t>
            </w:r>
          </w:p>
        </w:tc>
      </w:tr>
      <w:tr>
        <w:trPr>
          <w:cantSplit w:val="0"/>
          <w:trHeight w:val="250" w:hRule="atLeast"/>
          <w:tblHeader w:val="0"/>
        </w:trPr>
        <w:tc>
          <w:tcPr>
            <w:vMerge w:val="continue"/>
            <w:vAlign w:val="center"/>
          </w:tcPr>
          <w:p w:rsidR="00000000" w:rsidDel="00000000" w:rsidP="00000000" w:rsidRDefault="00000000" w:rsidRPr="00000000" w14:paraId="000000B3">
            <w:pPr>
              <w:spacing w:after="0" w:before="0" w:line="240" w:lineRule="auto"/>
              <w:ind w:left="0" w:firstLine="0"/>
              <w:jc w:val="both"/>
              <w:rPr/>
            </w:pPr>
            <w:r w:rsidDel="00000000" w:rsidR="00000000" w:rsidRPr="00000000">
              <w:rPr>
                <w:rtl w:val="0"/>
              </w:rPr>
            </w:r>
          </w:p>
        </w:tc>
        <w:tc>
          <w:tcPr>
            <w:vAlign w:val="center"/>
          </w:tcPr>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Lasso Regression</w:t>
            </w:r>
          </w:p>
        </w:tc>
        <w:tc>
          <w:tcPr>
            <w:vAlign w:val="center"/>
          </w:tcPr>
          <w:p w:rsidR="00000000" w:rsidDel="00000000" w:rsidP="00000000" w:rsidRDefault="00000000" w:rsidRPr="00000000" w14:paraId="000000B5">
            <w:pPr>
              <w:jc w:val="both"/>
              <w:rPr>
                <w:sz w:val="20"/>
                <w:szCs w:val="20"/>
              </w:rPr>
            </w:pPr>
            <w:r w:rsidDel="00000000" w:rsidR="00000000" w:rsidRPr="00000000">
              <w:rPr>
                <w:sz w:val="20"/>
                <w:szCs w:val="20"/>
                <w:rtl w:val="0"/>
              </w:rPr>
              <w:t xml:space="preserve">Predecir Li_ppm mientras selecciona las variables más relevantes, ya que puede forzar a cero algunos coeficientes.</w:t>
            </w:r>
          </w:p>
        </w:tc>
      </w:tr>
      <w:tr>
        <w:trPr>
          <w:cantSplit w:val="0"/>
          <w:trHeight w:val="250" w:hRule="atLeast"/>
          <w:tblHeader w:val="0"/>
        </w:trPr>
        <w:tc>
          <w:tcPr>
            <w:vMerge w:val="continue"/>
            <w:vAlign w:val="center"/>
          </w:tcPr>
          <w:p w:rsidR="00000000" w:rsidDel="00000000" w:rsidP="00000000" w:rsidRDefault="00000000" w:rsidRPr="00000000" w14:paraId="000000B6">
            <w:pPr>
              <w:spacing w:after="0" w:before="0" w:line="240" w:lineRule="auto"/>
              <w:ind w:left="0" w:firstLine="0"/>
              <w:jc w:val="both"/>
              <w:rPr/>
            </w:pPr>
            <w:r w:rsidDel="00000000" w:rsidR="00000000" w:rsidRPr="00000000">
              <w:rPr>
                <w:rtl w:val="0"/>
              </w:rPr>
            </w:r>
          </w:p>
        </w:tc>
        <w:tc>
          <w:tcPr>
            <w:vAlign w:val="center"/>
          </w:tcPr>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Gradient Boosting Regressor</w:t>
            </w:r>
          </w:p>
        </w:tc>
        <w:tc>
          <w:tcPr>
            <w:vAlign w:val="center"/>
          </w:tcPr>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Crear un modelo robusto para estimar Li_ppm con alta precisión.</w:t>
            </w:r>
          </w:p>
        </w:tc>
      </w:tr>
      <w:tr>
        <w:trPr>
          <w:cantSplit w:val="0"/>
          <w:trHeight w:val="250" w:hRule="atLeast"/>
          <w:tblHeader w:val="0"/>
        </w:trPr>
        <w:tc>
          <w:tcPr>
            <w:vMerge w:val="continue"/>
            <w:vAlign w:val="center"/>
          </w:tcPr>
          <w:p w:rsidR="00000000" w:rsidDel="00000000" w:rsidP="00000000" w:rsidRDefault="00000000" w:rsidRPr="00000000" w14:paraId="000000B9">
            <w:pPr>
              <w:spacing w:after="0" w:before="0" w:line="240" w:lineRule="auto"/>
              <w:ind w:left="0" w:firstLine="0"/>
              <w:jc w:val="both"/>
              <w:rPr/>
            </w:pPr>
            <w:r w:rsidDel="00000000" w:rsidR="00000000" w:rsidRPr="00000000">
              <w:rPr>
                <w:rtl w:val="0"/>
              </w:rPr>
            </w:r>
          </w:p>
        </w:tc>
        <w:tc>
          <w:tcPr>
            <w:vAlign w:val="center"/>
          </w:tcPr>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randomForest (R)</w:t>
            </w:r>
          </w:p>
        </w:tc>
        <w:tc>
          <w:tcPr>
            <w:vAlign w:val="center"/>
          </w:tcPr>
          <w:p w:rsidR="00000000" w:rsidDel="00000000" w:rsidP="00000000" w:rsidRDefault="00000000" w:rsidRPr="00000000" w14:paraId="000000BB">
            <w:pPr>
              <w:jc w:val="both"/>
              <w:rPr>
                <w:sz w:val="20"/>
                <w:szCs w:val="20"/>
              </w:rPr>
            </w:pPr>
            <w:r w:rsidDel="00000000" w:rsidR="00000000" w:rsidRPr="00000000">
              <w:rPr>
                <w:sz w:val="20"/>
                <w:szCs w:val="20"/>
                <w:rtl w:val="0"/>
              </w:rPr>
              <w:t xml:space="preserve">Implementación del algoritmo Random Forest para predicción de Li. </w:t>
            </w:r>
          </w:p>
        </w:tc>
      </w:tr>
      <w:tr>
        <w:trPr>
          <w:cantSplit w:val="0"/>
          <w:trHeight w:val="250" w:hRule="atLeast"/>
          <w:tblHeader w:val="0"/>
        </w:trPr>
        <w:tc>
          <w:tcPr>
            <w:vMerge w:val="continue"/>
            <w:vAlign w:val="center"/>
          </w:tcPr>
          <w:p w:rsidR="00000000" w:rsidDel="00000000" w:rsidP="00000000" w:rsidRDefault="00000000" w:rsidRPr="00000000" w14:paraId="000000BC">
            <w:pPr>
              <w:spacing w:after="0" w:before="0" w:line="240" w:lineRule="auto"/>
              <w:ind w:left="0" w:firstLine="0"/>
              <w:jc w:val="both"/>
              <w:rPr/>
            </w:pPr>
            <w:r w:rsidDel="00000000" w:rsidR="00000000" w:rsidRPr="00000000">
              <w:rPr>
                <w:rtl w:val="0"/>
              </w:rPr>
            </w:r>
          </w:p>
        </w:tc>
        <w:tc>
          <w:tcPr>
            <w:vAlign w:val="center"/>
          </w:tcPr>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neuralnet (R)</w:t>
            </w:r>
          </w:p>
        </w:tc>
        <w:tc>
          <w:tcPr>
            <w:vAlign w:val="center"/>
          </w:tcPr>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Implementación de algoritmos de Redes Neuronales, utilizados para predicción de Li.</w:t>
            </w:r>
          </w:p>
        </w:tc>
      </w:tr>
      <w:tr>
        <w:trPr>
          <w:cantSplit w:val="0"/>
          <w:trHeight w:val="250" w:hRule="atLeast"/>
          <w:tblHeader w:val="0"/>
        </w:trPr>
        <w:tc>
          <w:tcPr>
            <w:vMerge w:val="restart"/>
            <w:vAlign w:val="center"/>
          </w:tcPr>
          <w:p w:rsidR="00000000" w:rsidDel="00000000" w:rsidP="00000000" w:rsidRDefault="00000000" w:rsidRPr="00000000" w14:paraId="000000BF">
            <w:pPr>
              <w:jc w:val="both"/>
              <w:rPr>
                <w:sz w:val="20"/>
                <w:szCs w:val="20"/>
              </w:rPr>
            </w:pPr>
            <w:r w:rsidDel="00000000" w:rsidR="00000000" w:rsidRPr="00000000">
              <w:rPr>
                <w:b w:val="1"/>
                <w:sz w:val="20"/>
                <w:szCs w:val="20"/>
                <w:rtl w:val="0"/>
              </w:rPr>
              <w:t xml:space="preserve">Análisis Exploratorio</w:t>
            </w:r>
            <w:r w:rsidDel="00000000" w:rsidR="00000000" w:rsidRPr="00000000">
              <w:rPr>
                <w:rtl w:val="0"/>
              </w:rPr>
            </w:r>
          </w:p>
        </w:tc>
        <w:tc>
          <w:tcPr>
            <w:vAlign w:val="center"/>
          </w:tcPr>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pandas y numpy</w:t>
            </w:r>
          </w:p>
        </w:tc>
        <w:tc>
          <w:tcPr>
            <w:vAlign w:val="center"/>
          </w:tcPr>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Para estadísticas descriptivas</w:t>
            </w:r>
          </w:p>
        </w:tc>
      </w:tr>
      <w:tr>
        <w:trPr>
          <w:cantSplit w:val="0"/>
          <w:trHeight w:val="250" w:hRule="atLeast"/>
          <w:tblHeader w:val="0"/>
        </w:trPr>
        <w:tc>
          <w:tcPr>
            <w:vMerge w:val="continue"/>
            <w:vAlign w:val="center"/>
          </w:tcPr>
          <w:p w:rsidR="00000000" w:rsidDel="00000000" w:rsidP="00000000" w:rsidRDefault="00000000" w:rsidRPr="00000000" w14:paraId="000000C2">
            <w:pPr>
              <w:spacing w:after="0" w:before="0" w:line="240" w:lineRule="auto"/>
              <w:ind w:left="0" w:firstLine="0"/>
              <w:jc w:val="both"/>
              <w:rPr>
                <w:b w:val="1"/>
              </w:rPr>
            </w:pPr>
            <w:r w:rsidDel="00000000" w:rsidR="00000000" w:rsidRPr="00000000">
              <w:rPr>
                <w:rtl w:val="0"/>
              </w:rPr>
            </w:r>
          </w:p>
        </w:tc>
        <w:tc>
          <w:tcPr>
            <w:vAlign w:val="center"/>
          </w:tcPr>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matplotlib.pyplot y seaborn</w:t>
            </w:r>
          </w:p>
        </w:tc>
        <w:tc>
          <w:tcPr>
            <w:vAlign w:val="center"/>
          </w:tcPr>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Para heatmaps, histogramas, scatterplots y barplots de correlación.</w:t>
            </w:r>
          </w:p>
        </w:tc>
      </w:tr>
      <w:tr>
        <w:trPr>
          <w:cantSplit w:val="0"/>
          <w:tblHeader w:val="0"/>
        </w:trPr>
        <w:tc>
          <w:tcPr>
            <w:vAlign w:val="center"/>
          </w:tcPr>
          <w:p w:rsidR="00000000" w:rsidDel="00000000" w:rsidP="00000000" w:rsidRDefault="00000000" w:rsidRPr="00000000" w14:paraId="000000C5">
            <w:pPr>
              <w:jc w:val="both"/>
              <w:rPr>
                <w:sz w:val="20"/>
                <w:szCs w:val="20"/>
              </w:rPr>
            </w:pPr>
            <w:r w:rsidDel="00000000" w:rsidR="00000000" w:rsidRPr="00000000">
              <w:rPr>
                <w:b w:val="1"/>
                <w:sz w:val="20"/>
                <w:szCs w:val="20"/>
                <w:rtl w:val="0"/>
              </w:rPr>
              <w:t xml:space="preserve">Visualización</w:t>
            </w:r>
            <w:r w:rsidDel="00000000" w:rsidR="00000000" w:rsidRPr="00000000">
              <w:rPr>
                <w:rtl w:val="0"/>
              </w:rPr>
            </w:r>
          </w:p>
        </w:tc>
        <w:tc>
          <w:tcPr>
            <w:vAlign w:val="center"/>
          </w:tcPr>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Matplotlib, Seaborn, Folium</w:t>
            </w:r>
          </w:p>
        </w:tc>
        <w:tc>
          <w:tcPr>
            <w:vAlign w:val="center"/>
          </w:tcPr>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Gráficos estáticos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C8">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plotly.express y Dash</w:t>
            </w:r>
          </w:p>
        </w:tc>
        <w:tc>
          <w:tcPr>
            <w:vAlign w:val="center"/>
          </w:tcPr>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Dashboards interactivos (scatter, histogramas y mapas de calor con filtros en tiempo real)</w:t>
            </w:r>
          </w:p>
        </w:tc>
      </w:tr>
    </w:tbl>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b w:val="1"/>
        </w:rPr>
      </w:pPr>
      <w:r w:rsidDel="00000000" w:rsidR="00000000" w:rsidRPr="00000000">
        <w:rPr>
          <w:b w:val="1"/>
          <w:rtl w:val="0"/>
        </w:rPr>
        <w:t xml:space="preserve">Pasos metodológicos</w:t>
      </w:r>
    </w:p>
    <w:p w:rsidR="00000000" w:rsidDel="00000000" w:rsidP="00000000" w:rsidRDefault="00000000" w:rsidRPr="00000000" w14:paraId="000000CE">
      <w:pPr>
        <w:jc w:val="both"/>
        <w:rPr/>
      </w:pPr>
      <w:r w:rsidDel="00000000" w:rsidR="00000000" w:rsidRPr="00000000">
        <w:rPr>
          <w:rtl w:val="0"/>
        </w:rPr>
        <w:t xml:space="preserve">El análisis se divide en cuatro fases, siguiendo el flujo estándar de un proyecto de ciencia de datos:</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b w:val="1"/>
          <w:rtl w:val="0"/>
        </w:rPr>
        <w:t xml:space="preserve">1. Importación y estructuración de la base de datos</w:t>
      </w:r>
    </w:p>
    <w:p w:rsidR="00000000" w:rsidDel="00000000" w:rsidP="00000000" w:rsidRDefault="00000000" w:rsidRPr="00000000" w14:paraId="000000D1">
      <w:pPr>
        <w:jc w:val="both"/>
        <w:rPr/>
      </w:pPr>
      <w:r w:rsidDel="00000000" w:rsidR="00000000" w:rsidRPr="00000000">
        <w:rPr>
          <w:rtl w:val="0"/>
        </w:rPr>
        <w:t xml:space="preserve">• </w:t>
      </w:r>
      <w:r w:rsidDel="00000000" w:rsidR="00000000" w:rsidRPr="00000000">
        <w:rPr>
          <w:b w:val="1"/>
          <w:rtl w:val="0"/>
        </w:rPr>
        <w:t xml:space="preserve">Adquisición de datos:</w:t>
      </w:r>
      <w:r w:rsidDel="00000000" w:rsidR="00000000" w:rsidRPr="00000000">
        <w:rPr>
          <w:rtl w:val="0"/>
        </w:rPr>
        <w:t xml:space="preserve"> Se descargaron los datos geoquímicos disponibles en las bases de datos libres del Servicio Geológico Colombiano (SGC).</w:t>
      </w:r>
    </w:p>
    <w:p w:rsidR="00000000" w:rsidDel="00000000" w:rsidP="00000000" w:rsidRDefault="00000000" w:rsidRPr="00000000" w14:paraId="000000D2">
      <w:pPr>
        <w:jc w:val="both"/>
        <w:rPr/>
      </w:pPr>
      <w:r w:rsidDel="00000000" w:rsidR="00000000" w:rsidRPr="00000000">
        <w:rPr>
          <w:rtl w:val="0"/>
        </w:rPr>
        <w:t xml:space="preserve">• </w:t>
      </w:r>
      <w:r w:rsidDel="00000000" w:rsidR="00000000" w:rsidRPr="00000000">
        <w:rPr>
          <w:b w:val="1"/>
          <w:rtl w:val="0"/>
        </w:rPr>
        <w:t xml:space="preserve">Estructuración:</w:t>
      </w:r>
      <w:r w:rsidDel="00000000" w:rsidR="00000000" w:rsidRPr="00000000">
        <w:rPr>
          <w:rtl w:val="0"/>
        </w:rPr>
        <w:t xml:space="preserve"> Los datos brutos se importaron a una base de datos relacional (Access y MySQL) para asegurar la consistencia y la normalización.</w:t>
      </w:r>
    </w:p>
    <w:p w:rsidR="00000000" w:rsidDel="00000000" w:rsidP="00000000" w:rsidRDefault="00000000" w:rsidRPr="00000000" w14:paraId="000000D3">
      <w:pPr>
        <w:jc w:val="both"/>
        <w:rPr/>
      </w:pPr>
      <w:r w:rsidDel="00000000" w:rsidR="00000000" w:rsidRPr="00000000">
        <w:rPr>
          <w:rtl w:val="0"/>
        </w:rPr>
        <w:t xml:space="preserve">• </w:t>
      </w:r>
      <w:r w:rsidDel="00000000" w:rsidR="00000000" w:rsidRPr="00000000">
        <w:rPr>
          <w:b w:val="1"/>
          <w:rtl w:val="0"/>
        </w:rPr>
        <w:t xml:space="preserve">Definición de variables:</w:t>
      </w:r>
      <w:r w:rsidDel="00000000" w:rsidR="00000000" w:rsidRPr="00000000">
        <w:rPr>
          <w:rtl w:val="0"/>
        </w:rPr>
        <w:t xml:space="preserve"> Se aseguró la presencia de la variable objetiva (Litio (Li) y los 16 elementos predictores cuantificables por pXRF (Cs, U, K/Rb, Zn, As, Th, W, Sc, Y, Tb, Ga, Dy, In, Fe, Ho, Co, Er)</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b w:val="1"/>
        </w:rPr>
      </w:pPr>
      <w:r w:rsidDel="00000000" w:rsidR="00000000" w:rsidRPr="00000000">
        <w:rPr>
          <w:b w:val="1"/>
          <w:rtl w:val="0"/>
        </w:rPr>
        <w:t xml:space="preserve">2. Exploración y limpieza de datos</w:t>
      </w:r>
    </w:p>
    <w:p w:rsidR="00000000" w:rsidDel="00000000" w:rsidP="00000000" w:rsidRDefault="00000000" w:rsidRPr="00000000" w14:paraId="000000D6">
      <w:pPr>
        <w:jc w:val="both"/>
        <w:rPr/>
      </w:pPr>
      <w:r w:rsidDel="00000000" w:rsidR="00000000" w:rsidRPr="00000000">
        <w:rPr>
          <w:rtl w:val="0"/>
        </w:rPr>
        <w:t xml:space="preserve">• </w:t>
      </w:r>
      <w:r w:rsidDel="00000000" w:rsidR="00000000" w:rsidRPr="00000000">
        <w:rPr>
          <w:b w:val="1"/>
          <w:rtl w:val="0"/>
        </w:rPr>
        <w:t xml:space="preserve">Preprocesamiento:</w:t>
      </w:r>
      <w:r w:rsidDel="00000000" w:rsidR="00000000" w:rsidRPr="00000000">
        <w:rPr>
          <w:rtl w:val="0"/>
        </w:rPr>
        <w:t xml:space="preserve"> Se aplicaron correcciones a los datos brutos, similares a las realizadas en el estudio de referencia mediante el uso de regresiones lineales (ver siguiente capítulo).</w:t>
      </w:r>
    </w:p>
    <w:p w:rsidR="00000000" w:rsidDel="00000000" w:rsidP="00000000" w:rsidRDefault="00000000" w:rsidRPr="00000000" w14:paraId="000000D7">
      <w:pPr>
        <w:jc w:val="both"/>
        <w:rPr/>
      </w:pPr>
      <w:r w:rsidDel="00000000" w:rsidR="00000000" w:rsidRPr="00000000">
        <w:rPr>
          <w:rtl w:val="0"/>
        </w:rPr>
        <w:t xml:space="preserve">• </w:t>
      </w:r>
      <w:r w:rsidDel="00000000" w:rsidR="00000000" w:rsidRPr="00000000">
        <w:rPr>
          <w:b w:val="1"/>
          <w:rtl w:val="0"/>
        </w:rPr>
        <w:t xml:space="preserve">Cálculo de variables derivadas:</w:t>
      </w:r>
      <w:r w:rsidDel="00000000" w:rsidR="00000000" w:rsidRPr="00000000">
        <w:rPr>
          <w:rtl w:val="0"/>
        </w:rPr>
        <w:t xml:space="preserve"> Se calculó la relación K/Rb, una variable crucial que se correlaciona negativamente con el grado de fraccionamiento de las pegmatitas LCT y es un predictor potencial de Li.</w:t>
      </w:r>
    </w:p>
    <w:p w:rsidR="00000000" w:rsidDel="00000000" w:rsidP="00000000" w:rsidRDefault="00000000" w:rsidRPr="00000000" w14:paraId="000000D8">
      <w:pPr>
        <w:jc w:val="both"/>
        <w:rPr/>
      </w:pPr>
      <w:r w:rsidDel="00000000" w:rsidR="00000000" w:rsidRPr="00000000">
        <w:rPr>
          <w:rtl w:val="0"/>
        </w:rPr>
        <w:t xml:space="preserve">• </w:t>
      </w:r>
      <w:r w:rsidDel="00000000" w:rsidR="00000000" w:rsidRPr="00000000">
        <w:rPr>
          <w:b w:val="1"/>
          <w:rtl w:val="0"/>
        </w:rPr>
        <w:t xml:space="preserve">Análisis exploratorio (EDA):</w:t>
      </w:r>
      <w:r w:rsidDel="00000000" w:rsidR="00000000" w:rsidRPr="00000000">
        <w:rPr>
          <w:rtl w:val="0"/>
        </w:rPr>
        <w:t xml:space="preserve"> Se realizaron gráficos de dispersión (por ejemplo, Li vs. Cs, Li vs. K/Rb) para identificar las relaciones geoquímicas clave en el contexto colombiano.</w:t>
      </w:r>
    </w:p>
    <w:p w:rsidR="00000000" w:rsidDel="00000000" w:rsidP="00000000" w:rsidRDefault="00000000" w:rsidRPr="00000000" w14:paraId="000000D9">
      <w:pPr>
        <w:jc w:val="both"/>
        <w:rPr/>
      </w:pPr>
      <w:r w:rsidDel="00000000" w:rsidR="00000000" w:rsidRPr="00000000">
        <w:rPr>
          <w:rtl w:val="0"/>
        </w:rPr>
        <w:t xml:space="preserve">• </w:t>
      </w:r>
      <w:r w:rsidDel="00000000" w:rsidR="00000000" w:rsidRPr="00000000">
        <w:rPr>
          <w:b w:val="1"/>
          <w:rtl w:val="0"/>
        </w:rPr>
        <w:t xml:space="preserve">Normalización/Estandarización:</w:t>
      </w:r>
      <w:r w:rsidDel="00000000" w:rsidR="00000000" w:rsidRPr="00000000">
        <w:rPr>
          <w:rtl w:val="0"/>
        </w:rPr>
        <w:t xml:space="preserve"> Para el modelado con ML, los contenidos elementales fueron estandarizados mediante el método de centrado y escalado, como se sugiere en la metodología de referencia.</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b w:val="1"/>
        </w:rPr>
      </w:pPr>
      <w:r w:rsidDel="00000000" w:rsidR="00000000" w:rsidRPr="00000000">
        <w:rPr>
          <w:b w:val="1"/>
          <w:rtl w:val="0"/>
        </w:rPr>
        <w:t xml:space="preserve">3. Análisis y modelado predictivo (Machine Learning)</w:t>
      </w:r>
    </w:p>
    <w:p w:rsidR="00000000" w:rsidDel="00000000" w:rsidP="00000000" w:rsidRDefault="00000000" w:rsidRPr="00000000" w14:paraId="000000DC">
      <w:pPr>
        <w:jc w:val="both"/>
        <w:rPr/>
      </w:pPr>
      <w:r w:rsidDel="00000000" w:rsidR="00000000" w:rsidRPr="00000000">
        <w:rPr>
          <w:rtl w:val="0"/>
        </w:rPr>
        <w:t xml:space="preserve">Se entrenaron cinco algoritmos principales para la predicción de contenido de Litio (MLS, Ridge, Lasso, Gradient Boosting y Random Forest). El objetivo es identificar qué elementos trazadores </w:t>
      </w:r>
      <w:r w:rsidDel="00000000" w:rsidR="00000000" w:rsidRPr="00000000">
        <w:rPr>
          <w:rtl w:val="0"/>
        </w:rPr>
        <w:t xml:space="preserve">(incluyendo la razón K/Rb) son los más relevantes para la predicción </w:t>
      </w:r>
      <w:r w:rsidDel="00000000" w:rsidR="00000000" w:rsidRPr="00000000">
        <w:rPr>
          <w:rtl w:val="0"/>
        </w:rPr>
        <w:t xml:space="preserve">de Li en el dataset. El conjunto de datos será dividido aleatoriamente en conjuntos de entrenamiento (80%) y de validación (20%).</w:t>
      </w:r>
    </w:p>
    <w:p w:rsidR="00000000" w:rsidDel="00000000" w:rsidP="00000000" w:rsidRDefault="00000000" w:rsidRPr="00000000" w14:paraId="000000DD">
      <w:pPr>
        <w:jc w:val="both"/>
        <w:rPr>
          <w:b w:val="1"/>
        </w:rPr>
      </w:pPr>
      <w:r w:rsidDel="00000000" w:rsidR="00000000" w:rsidRPr="00000000">
        <w:rPr>
          <w:rtl w:val="0"/>
        </w:rPr>
      </w:r>
    </w:p>
    <w:p w:rsidR="00000000" w:rsidDel="00000000" w:rsidP="00000000" w:rsidRDefault="00000000" w:rsidRPr="00000000" w14:paraId="000000DE">
      <w:pPr>
        <w:jc w:val="both"/>
        <w:rPr>
          <w:b w:val="1"/>
        </w:rPr>
      </w:pPr>
      <w:r w:rsidDel="00000000" w:rsidR="00000000" w:rsidRPr="00000000">
        <w:rPr>
          <w:b w:val="1"/>
          <w:rtl w:val="0"/>
        </w:rPr>
        <w:t xml:space="preserve">4. Evaluación y Selección de Modelos (Criterios de Decisión)</w:t>
      </w:r>
    </w:p>
    <w:p w:rsidR="00000000" w:rsidDel="00000000" w:rsidP="00000000" w:rsidRDefault="00000000" w:rsidRPr="00000000" w14:paraId="000000DF">
      <w:pPr>
        <w:jc w:val="both"/>
        <w:rPr/>
      </w:pPr>
      <w:r w:rsidDel="00000000" w:rsidR="00000000" w:rsidRPr="00000000">
        <w:rPr>
          <w:rtl w:val="0"/>
        </w:rPr>
        <w:t xml:space="preserve">La selección del modelo más adecuado de ML se basa en la evaluación del rendimiento utilizando métricas específicas para regresión y clasificación. A continuación se hace un breve resumen de las métricas usadas en el presente estudio.</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b w:val="1"/>
          <w:rtl w:val="0"/>
        </w:rPr>
        <w:t xml:space="preserve">Coeficiente de Determinación (</w:t>
      </w:r>
      <w:r w:rsidDel="00000000" w:rsidR="00000000" w:rsidRPr="00000000">
        <w:rPr>
          <w:rtl w:val="0"/>
        </w:rPr>
        <w:t xml:space="preserve">R²</w:t>
      </w:r>
      <w:r w:rsidDel="00000000" w:rsidR="00000000" w:rsidRPr="00000000">
        <w:rPr>
          <w:b w:val="1"/>
          <w:rtl w:val="0"/>
        </w:rPr>
        <w:t xml:space="preserve">): </w:t>
      </w:r>
      <w:r w:rsidDel="00000000" w:rsidR="00000000" w:rsidRPr="00000000">
        <w:rPr>
          <w:rtl w:val="0"/>
        </w:rPr>
        <w:t xml:space="preserve"> Proporción de la variabilidad de la variable objetiva (Li_ppm) que el modelo logra explicar.</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2176463" cy="39813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76463" cy="39813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40" w:lineRule="auto"/>
        <w:jc w:val="center"/>
        <w:rPr/>
      </w:pPr>
      <w:r w:rsidDel="00000000" w:rsidR="00000000" w:rsidRPr="00000000">
        <w:rPr>
          <w:rtl w:val="0"/>
        </w:rPr>
        <w:t xml:space="preserve">R² = 1: el modelo explica el 100 % de la variabilidad (predicción perfecta).</w:t>
      </w:r>
    </w:p>
    <w:p w:rsidR="00000000" w:rsidDel="00000000" w:rsidP="00000000" w:rsidRDefault="00000000" w:rsidRPr="00000000" w14:paraId="000000E4">
      <w:pPr>
        <w:spacing w:after="0" w:line="240" w:lineRule="auto"/>
        <w:jc w:val="center"/>
        <w:rPr/>
      </w:pPr>
      <w:r w:rsidDel="00000000" w:rsidR="00000000" w:rsidRPr="00000000">
        <w:rPr>
          <w:rtl w:val="0"/>
        </w:rPr>
        <w:t xml:space="preserve">R² = 0: el modelo no mejora respecto a usar solo la media.</w:t>
      </w:r>
    </w:p>
    <w:p w:rsidR="00000000" w:rsidDel="00000000" w:rsidP="00000000" w:rsidRDefault="00000000" w:rsidRPr="00000000" w14:paraId="000000E5">
      <w:pPr>
        <w:spacing w:after="0" w:line="240" w:lineRule="auto"/>
        <w:jc w:val="center"/>
        <w:rPr/>
      </w:pPr>
      <w:r w:rsidDel="00000000" w:rsidR="00000000" w:rsidRPr="00000000">
        <w:rPr>
          <w:rtl w:val="0"/>
        </w:rPr>
        <w:t xml:space="preserve">Valores negativos: el modelo es peor que la media.</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b w:val="1"/>
          <w:rtl w:val="0"/>
        </w:rPr>
        <w:t xml:space="preserve">Error Cuadrático Medio (RMSE):</w:t>
      </w:r>
      <w:r w:rsidDel="00000000" w:rsidR="00000000" w:rsidRPr="00000000">
        <w:rPr>
          <w:rtl w:val="0"/>
        </w:rPr>
        <w:t xml:space="preserve"> Magnitud promedio de los errores de predicción.</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2520000" cy="37058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20000" cy="37058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after="0" w:line="240" w:lineRule="auto"/>
        <w:jc w:val="center"/>
        <w:rPr/>
      </w:pPr>
      <w:r w:rsidDel="00000000" w:rsidR="00000000" w:rsidRPr="00000000">
        <w:rPr>
          <w:rtl w:val="0"/>
        </w:rPr>
        <w:t xml:space="preserve">Cuanto más bajo, mejor.</w:t>
      </w:r>
    </w:p>
    <w:p w:rsidR="00000000" w:rsidDel="00000000" w:rsidP="00000000" w:rsidRDefault="00000000" w:rsidRPr="00000000" w14:paraId="000000EA">
      <w:pPr>
        <w:widowControl w:val="0"/>
        <w:spacing w:after="0" w:line="240" w:lineRule="auto"/>
        <w:jc w:val="center"/>
        <w:rPr/>
      </w:pPr>
      <w:r w:rsidDel="00000000" w:rsidR="00000000" w:rsidRPr="00000000">
        <w:rPr>
          <w:rtl w:val="0"/>
        </w:rPr>
        <w:t xml:space="preserve">Tiene las mismas unidades que la variable objetiva (ppm de litio).</w:t>
      </w:r>
    </w:p>
    <w:p w:rsidR="00000000" w:rsidDel="00000000" w:rsidP="00000000" w:rsidRDefault="00000000" w:rsidRPr="00000000" w14:paraId="000000EB">
      <w:pPr>
        <w:widowControl w:val="0"/>
        <w:spacing w:after="0" w:line="240" w:lineRule="auto"/>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b w:val="1"/>
          <w:rtl w:val="0"/>
        </w:rPr>
        <w:t xml:space="preserve">Desviación de Predicción Residual (RPD):</w:t>
      </w:r>
      <w:r w:rsidDel="00000000" w:rsidR="00000000" w:rsidRPr="00000000">
        <w:rPr>
          <w:rtl w:val="0"/>
        </w:rPr>
        <w:t xml:space="preserve"> Relación entre la desviación estándar de los valores reales y el RMSE.</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2062163" cy="330576"/>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62163" cy="33057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after="0" w:line="240" w:lineRule="auto"/>
        <w:jc w:val="center"/>
        <w:rPr/>
      </w:pPr>
      <w:r w:rsidDel="00000000" w:rsidR="00000000" w:rsidRPr="00000000">
        <w:rPr>
          <w:rtl w:val="0"/>
        </w:rPr>
        <w:t xml:space="preserve">RPD &lt; 1.5 → Modelo poco útil.</w:t>
      </w:r>
    </w:p>
    <w:p w:rsidR="00000000" w:rsidDel="00000000" w:rsidP="00000000" w:rsidRDefault="00000000" w:rsidRPr="00000000" w14:paraId="000000EF">
      <w:pPr>
        <w:widowControl w:val="0"/>
        <w:spacing w:after="0" w:line="240" w:lineRule="auto"/>
        <w:jc w:val="center"/>
        <w:rPr/>
      </w:pPr>
      <w:r w:rsidDel="00000000" w:rsidR="00000000" w:rsidRPr="00000000">
        <w:rPr>
          <w:rtl w:val="0"/>
        </w:rPr>
        <w:t xml:space="preserve">1.5–2.0 → Predicciones aproximadas.</w:t>
      </w:r>
    </w:p>
    <w:p w:rsidR="00000000" w:rsidDel="00000000" w:rsidP="00000000" w:rsidRDefault="00000000" w:rsidRPr="00000000" w14:paraId="000000F0">
      <w:pPr>
        <w:widowControl w:val="0"/>
        <w:spacing w:after="0" w:line="240" w:lineRule="auto"/>
        <w:jc w:val="center"/>
        <w:rPr/>
      </w:pPr>
      <w:r w:rsidDel="00000000" w:rsidR="00000000" w:rsidRPr="00000000">
        <w:rPr>
          <w:rtl w:val="0"/>
        </w:rPr>
        <w:t xml:space="preserve">&gt; 2.0 → Buena capacidad predictiva.</w:t>
      </w:r>
    </w:p>
    <w:p w:rsidR="00000000" w:rsidDel="00000000" w:rsidP="00000000" w:rsidRDefault="00000000" w:rsidRPr="00000000" w14:paraId="000000F1">
      <w:pPr>
        <w:widowControl w:val="0"/>
        <w:spacing w:after="0" w:line="240" w:lineRule="auto"/>
        <w:jc w:val="center"/>
        <w:rPr/>
      </w:pPr>
      <w:r w:rsidDel="00000000" w:rsidR="00000000" w:rsidRPr="00000000">
        <w:rPr>
          <w:rtl w:val="0"/>
        </w:rPr>
        <w:t xml:space="preserve">&gt; 3.0 → Excelente para aplicaciones prácticas.</w:t>
      </w:r>
    </w:p>
    <w:p w:rsidR="00000000" w:rsidDel="00000000" w:rsidP="00000000" w:rsidRDefault="00000000" w:rsidRPr="00000000" w14:paraId="000000F2">
      <w:pPr>
        <w:widowControl w:val="0"/>
        <w:spacing w:after="0" w:line="240" w:lineRule="auto"/>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b w:val="1"/>
          <w:rtl w:val="0"/>
        </w:rPr>
        <w:t xml:space="preserve">Precisión General (</w:t>
      </w:r>
      <w:r w:rsidDel="00000000" w:rsidR="00000000" w:rsidRPr="00000000">
        <w:rPr>
          <w:b w:val="1"/>
          <w:i w:val="1"/>
          <w:rtl w:val="0"/>
        </w:rPr>
        <w:t xml:space="preserve">Overall Accuracy</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F4">
      <w:pPr>
        <w:jc w:val="both"/>
        <w:rPr/>
      </w:pPr>
      <w:r w:rsidDel="00000000" w:rsidR="00000000" w:rsidRPr="00000000">
        <w:rPr>
          <w:rtl w:val="0"/>
        </w:rPr>
        <w:t xml:space="preserve">Se busca el modelo que clasifique correctamente el mayor número de puntos de validación.</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pStyle w:val="Heading1"/>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Análisis Exploratorio de Datos (EDA)</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spacing w:after="0" w:lineRule="auto"/>
        <w:jc w:val="both"/>
        <w:rPr>
          <w:b w:val="1"/>
        </w:rPr>
      </w:pPr>
      <w:r w:rsidDel="00000000" w:rsidR="00000000" w:rsidRPr="00000000">
        <w:rPr>
          <w:b w:val="1"/>
          <w:rtl w:val="0"/>
        </w:rPr>
        <w:t xml:space="preserve">• Tratamiento inicial de la base: </w:t>
      </w:r>
      <w:r w:rsidDel="00000000" w:rsidR="00000000" w:rsidRPr="00000000">
        <w:rPr>
          <w:rtl w:val="0"/>
        </w:rPr>
        <w:t xml:space="preserve">Se inició con la selección de solo las muestras que contienen Litio. En la base de datos inicial, se evidenciaron algunos datos con gran desviación, con concentraciones de Li desde un mínimo de -1 ppm,  hasta un máximo de 76,8 ppm. El Litio exhibe un amplio rango de concentraciones, lo cual es esencial para entrenar un modelo robusto de regresión. La base de datos geoquímica además contiene valores faltantes (representados como NA o null) que fueron descartados para poder realizar el modelamiento por ML. </w:t>
      </w:r>
      <w:r w:rsidDel="00000000" w:rsidR="00000000" w:rsidRPr="00000000">
        <w:rPr>
          <w:rtl w:val="0"/>
        </w:rPr>
      </w:r>
    </w:p>
    <w:p w:rsidR="00000000" w:rsidDel="00000000" w:rsidP="00000000" w:rsidRDefault="00000000" w:rsidRPr="00000000" w14:paraId="000000F9">
      <w:pPr>
        <w:spacing w:after="0" w:lineRule="auto"/>
        <w:jc w:val="both"/>
        <w:rPr/>
      </w:pPr>
      <w:r w:rsidDel="00000000" w:rsidR="00000000" w:rsidRPr="00000000">
        <w:rPr>
          <w:rtl w:val="0"/>
        </w:rPr>
      </w:r>
    </w:p>
    <w:p w:rsidR="00000000" w:rsidDel="00000000" w:rsidP="00000000" w:rsidRDefault="00000000" w:rsidRPr="00000000" w14:paraId="000000FA">
      <w:pPr>
        <w:spacing w:after="0" w:lineRule="auto"/>
        <w:jc w:val="both"/>
        <w:rPr/>
      </w:pPr>
      <w:r w:rsidDel="00000000" w:rsidR="00000000" w:rsidRPr="00000000">
        <w:rPr>
          <w:rtl w:val="0"/>
        </w:rPr>
        <w:t xml:space="preserve">El estudio cuenta con diferentes unidades de medición para todos los elementos: porcentaje, ppb, y ppm, por este motivo se unificaron las concentraciones para que todos los datos estén expresados en ppm. </w:t>
      </w:r>
    </w:p>
    <w:p w:rsidR="00000000" w:rsidDel="00000000" w:rsidP="00000000" w:rsidRDefault="00000000" w:rsidRPr="00000000" w14:paraId="000000FB">
      <w:pPr>
        <w:spacing w:after="0" w:lineRule="auto"/>
        <w:jc w:val="both"/>
        <w:rPr/>
      </w:pPr>
      <w:r w:rsidDel="00000000" w:rsidR="00000000" w:rsidRPr="00000000">
        <w:rPr>
          <w:rtl w:val="0"/>
        </w:rPr>
      </w:r>
    </w:p>
    <w:p w:rsidR="00000000" w:rsidDel="00000000" w:rsidP="00000000" w:rsidRDefault="00000000" w:rsidRPr="00000000" w14:paraId="000000FC">
      <w:pPr>
        <w:spacing w:after="0" w:lineRule="auto"/>
        <w:jc w:val="both"/>
        <w:rPr/>
      </w:pPr>
      <w:r w:rsidDel="00000000" w:rsidR="00000000" w:rsidRPr="00000000">
        <w:rPr>
          <w:rtl w:val="0"/>
        </w:rPr>
        <w:t xml:space="preserve">Para mayor precisión de la información y mejor entrenamiento del modelo de ML se seleccionaron solo las muestras de Roca y Sedimentos, con filtro en la técnica de medición Plasma (ICP) y ICP-OES, ya que las concentraciones obtenidas por estos instrumentos son los que presentan la mayor precisión analítica en el laboratorio.  </w:t>
      </w:r>
    </w:p>
    <w:p w:rsidR="00000000" w:rsidDel="00000000" w:rsidP="00000000" w:rsidRDefault="00000000" w:rsidRPr="00000000" w14:paraId="000000FD">
      <w:pPr>
        <w:spacing w:after="0" w:lineRule="auto"/>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Posterior a esta depuración, quedaron 97 registros que cumplen con todas las condiciones requeridas para correr un modelo de ML.</w:t>
      </w:r>
    </w:p>
    <w:p w:rsidR="00000000" w:rsidDel="00000000" w:rsidP="00000000" w:rsidRDefault="00000000" w:rsidRPr="00000000" w14:paraId="000000FF">
      <w:pPr>
        <w:spacing w:after="0" w:lineRule="auto"/>
        <w:jc w:val="both"/>
        <w:rPr/>
      </w:pPr>
      <w:r w:rsidDel="00000000" w:rsidR="00000000" w:rsidRPr="00000000">
        <w:rPr>
          <w:rtl w:val="0"/>
        </w:rPr>
        <w:t xml:space="preserve">Adicionalmente, para la ubicación geográfica de las muestras fue necesario realizar una transformación del sistema de coordenadas de metros a grados decimales, ya que la mayoría de estas se encontraban en el primer sistema de referencia y la librería de python Folium no permite su uso.</w:t>
      </w:r>
    </w:p>
    <w:p w:rsidR="00000000" w:rsidDel="00000000" w:rsidP="00000000" w:rsidRDefault="00000000" w:rsidRPr="00000000" w14:paraId="00000100">
      <w:pPr>
        <w:spacing w:after="0" w:lineRule="auto"/>
        <w:jc w:val="both"/>
        <w:rPr/>
      </w:pPr>
      <w:r w:rsidDel="00000000" w:rsidR="00000000" w:rsidRPr="00000000">
        <w:rPr>
          <w:rtl w:val="0"/>
        </w:rPr>
      </w:r>
    </w:p>
    <w:p w:rsidR="00000000" w:rsidDel="00000000" w:rsidP="00000000" w:rsidRDefault="00000000" w:rsidRPr="00000000" w14:paraId="00000101">
      <w:pPr>
        <w:spacing w:after="0" w:lineRule="auto"/>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 </w:t>
      </w:r>
      <w:r w:rsidDel="00000000" w:rsidR="00000000" w:rsidRPr="00000000">
        <w:rPr>
          <w:b w:val="1"/>
          <w:rtl w:val="0"/>
        </w:rPr>
        <w:t xml:space="preserve">Identificación y tratamiento de outliers (valores atípicos): </w:t>
      </w:r>
      <w:r w:rsidDel="00000000" w:rsidR="00000000" w:rsidRPr="00000000">
        <w:rPr>
          <w:rtl w:val="0"/>
        </w:rPr>
        <w:t xml:space="preserve">Los valores atípicos se analizaron cuidadosamente, ya que en el contexto geoquímico, un </w:t>
      </w:r>
      <w:r w:rsidDel="00000000" w:rsidR="00000000" w:rsidRPr="00000000">
        <w:rPr>
          <w:i w:val="1"/>
          <w:rtl w:val="0"/>
        </w:rPr>
        <w:t xml:space="preserve">outlier</w:t>
      </w:r>
      <w:r w:rsidDel="00000000" w:rsidR="00000000" w:rsidRPr="00000000">
        <w:rPr>
          <w:rtl w:val="0"/>
        </w:rPr>
        <w:t xml:space="preserve"> puede representar una anomalía verdadera (es decir, un depósito de Li de alta concentración), o un error de medición o muestreo.</w:t>
      </w:r>
      <w:r w:rsidDel="00000000" w:rsidR="00000000" w:rsidRPr="00000000">
        <w:rPr>
          <w:b w:val="1"/>
          <w:rtl w:val="0"/>
        </w:rPr>
        <w:t xml:space="preserve">  </w:t>
      </w:r>
      <w:r w:rsidDel="00000000" w:rsidR="00000000" w:rsidRPr="00000000">
        <w:rPr>
          <w:rtl w:val="0"/>
        </w:rPr>
        <w:t xml:space="preserve">Se utilizaron gráficos de caja (box plots) para visualizar la distribución de cada variable (Li, Rb, K/Rb, etc.) e identificar puntos que se encuentran fuera del rango intercuartílico (IQR) extendido.</w:t>
      </w:r>
    </w:p>
    <w:p w:rsidR="00000000" w:rsidDel="00000000" w:rsidP="00000000" w:rsidRDefault="00000000" w:rsidRPr="00000000" w14:paraId="00000103">
      <w:pPr>
        <w:jc w:val="both"/>
        <w:rPr/>
      </w:pPr>
      <w:r w:rsidDel="00000000" w:rsidR="00000000" w:rsidRPr="00000000">
        <w:rPr>
          <w:rtl w:val="0"/>
        </w:rPr>
        <w:t xml:space="preserve">La Figura 1 presenta el histograma y boxplot de la concentración de Litio en las 97 muestras después de los filtros mencionados. Los datos varían desde un mínimo de 5,6 ppm  hasta un máximo de 52,2 ppm. También se observa que la mayor parte de los datos se agrupan entre aprox. 10 y 20 ppm y existen outliers de hasta 50 ppm.</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5486400" cy="13462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864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486400" cy="12700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864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sz w:val="20"/>
          <w:szCs w:val="20"/>
          <w:rtl w:val="0"/>
        </w:rPr>
        <w:t xml:space="preserve">Figura 1. Histograma y boxplot de las concentraciones de Litio en el dataset después de los filtros.</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 </w:t>
      </w:r>
      <w:r w:rsidDel="00000000" w:rsidR="00000000" w:rsidRPr="00000000">
        <w:rPr>
          <w:b w:val="1"/>
          <w:rtl w:val="0"/>
        </w:rPr>
        <w:t xml:space="preserve">Relación y dispersión del Litio vs. Cesio y K/Rb:</w:t>
      </w:r>
      <w:r w:rsidDel="00000000" w:rsidR="00000000" w:rsidRPr="00000000">
        <w:rPr>
          <w:rtl w:val="0"/>
        </w:rPr>
        <w:t xml:space="preserve"> La razón K/Rb se considera una variable predictora crucial. En la Figura 2 se observa una fuerte correlación inversa con el contenido de Li, y</w:t>
      </w:r>
      <w:r w:rsidDel="00000000" w:rsidR="00000000" w:rsidRPr="00000000">
        <w:rPr>
          <w:rtl w:val="0"/>
        </w:rPr>
        <w:t xml:space="preserve"> es </w:t>
      </w:r>
      <w:r w:rsidDel="00000000" w:rsidR="00000000" w:rsidRPr="00000000">
        <w:rPr>
          <w:rtl w:val="0"/>
        </w:rPr>
        <w:t xml:space="preserve">la principal herramienta visual para la discriminación: la mayoría de los puntos de datos ricos en Li se concentran en valores bajos de K/Rb. </w:t>
      </w:r>
    </w:p>
    <w:p w:rsidR="00000000" w:rsidDel="00000000" w:rsidP="00000000" w:rsidRDefault="00000000" w:rsidRPr="00000000" w14:paraId="0000010A">
      <w:pPr>
        <w:jc w:val="both"/>
        <w:rPr/>
      </w:pPr>
      <w:r w:rsidDel="00000000" w:rsidR="00000000" w:rsidRPr="00000000">
        <w:rPr>
          <w:rtl w:val="0"/>
        </w:rPr>
        <w:t xml:space="preserve">Esta relación se correlaciona geológicamente con el grado de fraccionamiento de las pegmatitas LCT y es un predictor potencial de la prospectividad de Li</w:t>
      </w:r>
    </w:p>
    <w:p w:rsidR="00000000" w:rsidDel="00000000" w:rsidP="00000000" w:rsidRDefault="00000000" w:rsidRPr="00000000" w14:paraId="0000010B">
      <w:pPr>
        <w:jc w:val="both"/>
        <w:rPr/>
      </w:pPr>
      <w:r w:rsidDel="00000000" w:rsidR="00000000" w:rsidRPr="00000000">
        <w:rPr/>
        <w:drawing>
          <wp:inline distB="114300" distT="114300" distL="114300" distR="114300">
            <wp:extent cx="5486400" cy="14097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Figura 2. Scatterplot de K/Rb vs Litio en correlación inversa</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Por otra parte el Cesio, muestra una relación estrecha con el Litio. Su parentesco químico muestra que durante la evolución de un magma, estos dos elementos se encuentran en las etapas finales que forman las pegmatitas graníticas (Figura 3).</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486400" cy="14859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6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0"/>
          <w:szCs w:val="20"/>
        </w:rPr>
      </w:pPr>
      <w:r w:rsidDel="00000000" w:rsidR="00000000" w:rsidRPr="00000000">
        <w:rPr>
          <w:sz w:val="20"/>
          <w:szCs w:val="20"/>
          <w:rtl w:val="0"/>
        </w:rPr>
        <w:t xml:space="preserve">Figura 3. Scatterplot de Cesio vs. Litio en correlación directa</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Elementos como el hierro (Figura 4), cobalto, zirconio y arsénico no muestran una relación lineal clara como los elementos anteriores, presentando mayor dispersión.</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drawing>
          <wp:inline distB="114300" distT="114300" distL="114300" distR="114300">
            <wp:extent cx="5486400" cy="20066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sz w:val="20"/>
          <w:szCs w:val="20"/>
          <w:rtl w:val="0"/>
        </w:rPr>
        <w:t xml:space="preserve">Figura 4. Scatterplot de Hierro vs. Litio, sin relación lineal clara</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En la figura 5 se presentan todos los elementos trazadores organizados de acuerdo a su grado de correlación con el Litio, obteniendo el siguiente orden de mayor a menor correlación: Cs, U, Zn, As, Th, Sc, Y, Tb, Ga, Dy, Ln, Fe, Ho, Er, Co, W y K/Rb.</w:t>
      </w:r>
    </w:p>
    <w:p w:rsidR="00000000" w:rsidDel="00000000" w:rsidP="00000000" w:rsidRDefault="00000000" w:rsidRPr="00000000" w14:paraId="00000119">
      <w:pPr>
        <w:rPr/>
      </w:pPr>
      <w:r w:rsidDel="00000000" w:rsidR="00000000" w:rsidRPr="00000000">
        <w:rPr/>
        <w:drawing>
          <wp:inline distB="114300" distT="114300" distL="114300" distR="114300">
            <wp:extent cx="5486400" cy="27559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864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sz w:val="20"/>
          <w:szCs w:val="20"/>
          <w:rtl w:val="0"/>
        </w:rPr>
        <w:t xml:space="preserve">Figura 5. Correlación de los elementos trazadores con el Litio. En azul, elementos con correlación directa, en rojo con correlación inversa.</w:t>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Estos patrones preliminares validan la hipótesis de que los algoritmos de ML son necesarios para modelar las relaciones multivariadas y no lineales que discriminan eficazmente entre las muestras. El modelo de Machine Learning deberá entrenarse para explotar las correlaciones inversas y positivas.</w:t>
      </w:r>
    </w:p>
    <w:p w:rsidR="00000000" w:rsidDel="00000000" w:rsidP="00000000" w:rsidRDefault="00000000" w:rsidRPr="00000000" w14:paraId="0000011D">
      <w:pPr>
        <w:pStyle w:val="Heading1"/>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Análisis principal</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El dataset inicial obtenido del Servicio Geológico Colombiano cuenta con más de 160 mil datos geoquímicos recolectados en diferentes partes de Colombia. Sin embargo, posterior a los múltiples filtros realizados (descritos en la metodología), en la figura 6 se presenta la localización de las muestras que contienen concentraciones de Litio. </w:t>
      </w:r>
    </w:p>
    <w:p w:rsidR="00000000" w:rsidDel="00000000" w:rsidP="00000000" w:rsidRDefault="00000000" w:rsidRPr="00000000" w14:paraId="00000120">
      <w:pPr>
        <w:jc w:val="both"/>
        <w:rPr/>
      </w:pPr>
      <w:r w:rsidDel="00000000" w:rsidR="00000000" w:rsidRPr="00000000">
        <w:rPr>
          <w:rtl w:val="0"/>
        </w:rPr>
        <w:t xml:space="preserve">En la figura de la izquierda se presenta el Heatmap de los 4 clusters donde Litio ha sido medido en el país. Los resultados se distribuyen en los departamentos de 1) la Guajira, 2)Bolívar y Cesar, 3) Cundinamarca, Antioquia y Chocó, y 4) Huila, Cauca y Putumayo. A la derecha, se presentan las mismas muestras catalogadas por colores, donde amarillo indica bajas concentraciones, azul medias concentraciones y rojo altas concentraciones de Litio. </w:t>
      </w:r>
    </w:p>
    <w:p w:rsidR="00000000" w:rsidDel="00000000" w:rsidP="00000000" w:rsidRDefault="00000000" w:rsidRPr="00000000" w14:paraId="00000121">
      <w:pPr>
        <w:jc w:val="both"/>
        <w:rPr/>
      </w:pPr>
      <w:r w:rsidDel="00000000" w:rsidR="00000000" w:rsidRPr="00000000">
        <w:rPr>
          <w:rtl w:val="0"/>
        </w:rPr>
        <w:t xml:space="preserve">De acuerdo a nuestros resultados, las concentraciones de las muestras de rocas y sedimentos analizados presentan en su mayoría bajas concentraciones.</w:t>
      </w:r>
    </w:p>
    <w:p w:rsidR="00000000" w:rsidDel="00000000" w:rsidP="00000000" w:rsidRDefault="00000000" w:rsidRPr="00000000" w14:paraId="00000122">
      <w:pPr>
        <w:rPr/>
      </w:pPr>
      <w:r w:rsidDel="00000000" w:rsidR="00000000" w:rsidRPr="00000000">
        <w:rPr/>
        <w:drawing>
          <wp:inline distB="114300" distT="114300" distL="114300" distR="114300">
            <wp:extent cx="5486400" cy="31115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sz w:val="20"/>
          <w:szCs w:val="20"/>
          <w:rtl w:val="0"/>
        </w:rPr>
        <w:t xml:space="preserve">Figura 6. Ubicación en el mapa geográfico y geológico de las muestras que presentan concentraciones medidas de Litio en la base de datos del Servicio Geológico Colombiano.</w:t>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spacing w:after="240" w:before="240" w:lineRule="auto"/>
        <w:jc w:val="both"/>
        <w:rPr/>
      </w:pPr>
      <w:r w:rsidDel="00000000" w:rsidR="00000000" w:rsidRPr="00000000">
        <w:rPr>
          <w:rtl w:val="0"/>
        </w:rPr>
        <w:t xml:space="preserve">Este dataset fue filtrado y utilizado para correr los modelos de ML, pues era necesario que cada muestra analizada tuviera mediciones tanto de Litio como de los elementos trazadores. En la figura 7 se presentan las métricas (R², RMSE, MAE, RPD, Overall Accuracy) obtenidas para todos los modelos ML utilizados en el presente estudio:</w:t>
      </w:r>
    </w:p>
    <w:p w:rsidR="00000000" w:rsidDel="00000000" w:rsidP="00000000" w:rsidRDefault="00000000" w:rsidRPr="00000000" w14:paraId="00000126">
      <w:pPr>
        <w:spacing w:after="240" w:before="240" w:lineRule="auto"/>
        <w:jc w:val="both"/>
        <w:rPr/>
      </w:pPr>
      <w:r w:rsidDel="00000000" w:rsidR="00000000" w:rsidRPr="00000000">
        <w:rPr/>
        <w:drawing>
          <wp:inline distB="114300" distT="114300" distL="114300" distR="114300">
            <wp:extent cx="5486400" cy="38227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864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1"/>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Hallazgos clave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spacing w:after="240" w:before="240" w:lineRule="auto"/>
        <w:ind w:left="0" w:firstLine="0"/>
        <w:jc w:val="both"/>
        <w:rPr/>
      </w:pPr>
      <w:r w:rsidDel="00000000" w:rsidR="00000000" w:rsidRPr="00000000">
        <w:rPr>
          <w:rtl w:val="0"/>
        </w:rPr>
        <w:t xml:space="preserve">A partir de las métricas obtenidas se puede concluir:</w:t>
      </w:r>
    </w:p>
    <w:p w:rsidR="00000000" w:rsidDel="00000000" w:rsidP="00000000" w:rsidRDefault="00000000" w:rsidRPr="00000000" w14:paraId="0000012A">
      <w:pPr>
        <w:spacing w:after="240" w:before="240" w:lineRule="auto"/>
        <w:ind w:left="0" w:firstLine="0"/>
        <w:jc w:val="both"/>
        <w:rPr>
          <w:b w:val="1"/>
        </w:rPr>
      </w:pPr>
      <w:r w:rsidDel="00000000" w:rsidR="00000000" w:rsidRPr="00000000">
        <w:rPr>
          <w:b w:val="1"/>
          <w:rtl w:val="0"/>
        </w:rPr>
        <w:t xml:space="preserve">1) Mejor modelo: MLP (Red Neuronal Multicapa) </w:t>
      </w:r>
    </w:p>
    <w:p w:rsidR="00000000" w:rsidDel="00000000" w:rsidP="00000000" w:rsidRDefault="00000000" w:rsidRPr="00000000" w14:paraId="0000012B">
      <w:pPr>
        <w:spacing w:after="240" w:before="240" w:lineRule="auto"/>
        <w:ind w:left="0" w:firstLine="0"/>
        <w:jc w:val="both"/>
        <w:rPr/>
      </w:pPr>
      <w:r w:rsidDel="00000000" w:rsidR="00000000" w:rsidRPr="00000000">
        <w:rPr>
          <w:rtl w:val="0"/>
        </w:rPr>
        <w:t xml:space="preserve">R² ≈ </w:t>
      </w:r>
      <w:r w:rsidDel="00000000" w:rsidR="00000000" w:rsidRPr="00000000">
        <w:rPr>
          <w:b w:val="1"/>
          <w:rtl w:val="0"/>
        </w:rPr>
        <w:t xml:space="preserve">0.89</w:t>
      </w:r>
      <w:r w:rsidDel="00000000" w:rsidR="00000000" w:rsidRPr="00000000">
        <w:rPr>
          <w:rtl w:val="0"/>
        </w:rPr>
        <w:t xml:space="preserve"> → explica casi el 90% de la variabilidad en Li.</w:t>
        <w:br w:type="textWrapping"/>
        <w:t xml:space="preserve">RMSE ≈ 2.4 ppm → error bajo en el rango de valores (muy bueno).</w:t>
        <w:br w:type="textWrapping"/>
        <w:t xml:space="preserve">RPD ≈ 2.97 (&gt;2.5) → considerado excelente en predicción de propiedades geoquímicas.</w:t>
        <w:br w:type="textWrapping"/>
        <w:t xml:space="preserve">Accuracy ≈ 0.81 → alto nivel de confiabilidad.</w:t>
        <w:br w:type="textWrapping"/>
      </w:r>
    </w:p>
    <w:p w:rsidR="00000000" w:rsidDel="00000000" w:rsidP="00000000" w:rsidRDefault="00000000" w:rsidRPr="00000000" w14:paraId="0000012C">
      <w:pPr>
        <w:spacing w:after="240" w:before="240" w:lineRule="auto"/>
        <w:ind w:left="0" w:firstLine="0"/>
        <w:jc w:val="both"/>
        <w:rPr/>
      </w:pPr>
      <w:r w:rsidDel="00000000" w:rsidR="00000000" w:rsidRPr="00000000">
        <w:rPr>
          <w:b w:val="1"/>
          <w:rtl w:val="0"/>
        </w:rPr>
        <w:t xml:space="preserve">2) Ridge y Lasso</w:t>
      </w:r>
      <w:r w:rsidDel="00000000" w:rsidR="00000000" w:rsidRPr="00000000">
        <w:rPr>
          <w:rtl w:val="0"/>
        </w:rPr>
        <w:t xml:space="preserve"> también muestran buen desempeño (R² entre 0.84–0.86). Indica que el Li tiene relación lineal y aditiva con algunos de los elementos trazadores, lo que explica por qué los modelos lineales funcionan bien.</w:t>
        <w:br w:type="textWrapping"/>
      </w:r>
    </w:p>
    <w:p w:rsidR="00000000" w:rsidDel="00000000" w:rsidP="00000000" w:rsidRDefault="00000000" w:rsidRPr="00000000" w14:paraId="0000012D">
      <w:pPr>
        <w:spacing w:after="240" w:before="240" w:lineRule="auto"/>
        <w:ind w:left="0" w:firstLine="0"/>
        <w:jc w:val="both"/>
        <w:rPr/>
      </w:pPr>
      <w:r w:rsidDel="00000000" w:rsidR="00000000" w:rsidRPr="00000000">
        <w:rPr>
          <w:b w:val="1"/>
          <w:rtl w:val="0"/>
        </w:rPr>
        <w:t xml:space="preserve">3) Gradient Boosting y Random Forest</w:t>
      </w:r>
      <w:r w:rsidDel="00000000" w:rsidR="00000000" w:rsidRPr="00000000">
        <w:rPr>
          <w:rtl w:val="0"/>
        </w:rPr>
        <w:t xml:space="preserve"> (R² ≈ 0.83). Muestran resultados sólidos, pero no superan a los lineales ni a la red neuronal. Puede ser que las relaciones no sean altamente no-lineales en este dataset.</w:t>
        <w:br w:type="textWrapping"/>
      </w:r>
    </w:p>
    <w:p w:rsidR="00000000" w:rsidDel="00000000" w:rsidP="00000000" w:rsidRDefault="00000000" w:rsidRPr="00000000" w14:paraId="0000012E">
      <w:pPr>
        <w:spacing w:after="240" w:before="240" w:lineRule="auto"/>
        <w:ind w:left="0" w:firstLine="0"/>
        <w:jc w:val="both"/>
        <w:rPr/>
      </w:pPr>
      <w:r w:rsidDel="00000000" w:rsidR="00000000" w:rsidRPr="00000000">
        <w:rPr>
          <w:b w:val="1"/>
          <w:rtl w:val="0"/>
        </w:rPr>
        <w:t xml:space="preserve">Conclusión técnica</w:t>
      </w:r>
      <w:r w:rsidDel="00000000" w:rsidR="00000000" w:rsidRPr="00000000">
        <w:rPr>
          <w:rtl w:val="0"/>
        </w:rPr>
        <w:t xml:space="preserve">: Los datos son muy predecibles (R² &gt; 0.8 en casi todos los casos).  El Li tiene asociaciones geoquímicas consistentes que pueden ser capturadas por modelos tanto lineales como no lineales.</w:t>
      </w:r>
    </w:p>
    <w:p w:rsidR="00000000" w:rsidDel="00000000" w:rsidP="00000000" w:rsidRDefault="00000000" w:rsidRPr="00000000" w14:paraId="0000012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30">
      <w:pPr>
        <w:pStyle w:val="Heading1"/>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Conclusiones y recomendaciones</w:t>
      </w:r>
    </w:p>
    <w:p w:rsidR="00000000" w:rsidDel="00000000" w:rsidP="00000000" w:rsidRDefault="00000000" w:rsidRPr="00000000" w14:paraId="00000131">
      <w:pPr>
        <w:pStyle w:val="Heading2"/>
        <w:keepNext w:val="0"/>
        <w:keepLines w:val="0"/>
        <w:spacing w:after="80" w:before="360" w:lineRule="auto"/>
        <w:jc w:val="both"/>
        <w:rPr>
          <w:rFonts w:ascii="Cambria" w:cs="Cambria" w:eastAsia="Cambria" w:hAnsi="Cambria"/>
          <w:color w:val="000000"/>
          <w:sz w:val="22"/>
          <w:szCs w:val="22"/>
        </w:rPr>
      </w:pPr>
      <w:bookmarkStart w:colFirst="0" w:colLast="0" w:name="_heading=h.75065bjam3g2" w:id="0"/>
      <w:bookmarkEnd w:id="0"/>
      <w:r w:rsidDel="00000000" w:rsidR="00000000" w:rsidRPr="00000000">
        <w:rPr>
          <w:rFonts w:ascii="Cambria" w:cs="Cambria" w:eastAsia="Cambria" w:hAnsi="Cambria"/>
          <w:color w:val="000000"/>
          <w:sz w:val="22"/>
          <w:szCs w:val="22"/>
          <w:rtl w:val="0"/>
        </w:rPr>
        <w:t xml:space="preserve"> 1) Significado geológico de los elementos trazadores asociados a Li</w:t>
      </w:r>
    </w:p>
    <w:p w:rsidR="00000000" w:rsidDel="00000000" w:rsidP="00000000" w:rsidRDefault="00000000" w:rsidRPr="00000000" w14:paraId="00000132">
      <w:pPr>
        <w:spacing w:after="240" w:before="240" w:lineRule="auto"/>
        <w:jc w:val="both"/>
        <w:rPr/>
      </w:pPr>
      <w:r w:rsidDel="00000000" w:rsidR="00000000" w:rsidRPr="00000000">
        <w:rPr>
          <w:rtl w:val="0"/>
        </w:rPr>
        <w:t xml:space="preserve">Los elementos químicos que más se correlacionan con Li es muy reveladora:</w:t>
      </w:r>
    </w:p>
    <w:p w:rsidR="00000000" w:rsidDel="00000000" w:rsidP="00000000" w:rsidRDefault="00000000" w:rsidRPr="00000000" w14:paraId="00000133">
      <w:pPr>
        <w:spacing w:after="240" w:before="240" w:lineRule="auto"/>
        <w:jc w:val="both"/>
        <w:rPr>
          <w:b w:val="1"/>
        </w:rPr>
      </w:pPr>
      <w:r w:rsidDel="00000000" w:rsidR="00000000" w:rsidRPr="00000000">
        <w:rPr>
          <w:b w:val="1"/>
          <w:rtl w:val="0"/>
        </w:rPr>
        <w:t xml:space="preserve">Metales de alta densidad y alta energía (Th, U, W, Sc, Ga, In, Cs)</w:t>
      </w:r>
      <w:r w:rsidDel="00000000" w:rsidR="00000000" w:rsidRPr="00000000">
        <w:rPr>
          <w:rtl w:val="0"/>
        </w:rPr>
        <w:t xml:space="preserve">: Th y U son indicadores de magmas altamente fraccionados, enriquecidos en elementos incompatibles, comunes en sistemas pegmatíticos y graníticos litíferos. Cs es el clásico “pathfinder” de litio en pegmatitas; asociado a polilitionita y lepidolita. W es indicador de fluidos hidrotermales asociados a magmatismo fraccionado. Sc, Ga, In son elementos de traza que se concentran en ambientes de cristalización tardía; y su asociación sugiere evolución magmática avanzada.</w:t>
      </w:r>
      <w:r w:rsidDel="00000000" w:rsidR="00000000" w:rsidRPr="00000000">
        <w:rPr>
          <w:rtl w:val="0"/>
        </w:rPr>
      </w:r>
    </w:p>
    <w:p w:rsidR="00000000" w:rsidDel="00000000" w:rsidP="00000000" w:rsidRDefault="00000000" w:rsidRPr="00000000" w14:paraId="00000134">
      <w:pPr>
        <w:spacing w:after="240" w:before="240" w:lineRule="auto"/>
        <w:jc w:val="both"/>
        <w:rPr/>
      </w:pPr>
      <w:r w:rsidDel="00000000" w:rsidR="00000000" w:rsidRPr="00000000">
        <w:rPr>
          <w:b w:val="1"/>
          <w:rtl w:val="0"/>
        </w:rPr>
        <w:t xml:space="preserve">Elementos de tierras raras (Y, Dy, Tb, Ho, Er):  </w:t>
      </w:r>
      <w:r w:rsidDel="00000000" w:rsidR="00000000" w:rsidRPr="00000000">
        <w:rPr>
          <w:rtl w:val="0"/>
        </w:rPr>
        <w:t xml:space="preserve">Estos elementos</w:t>
      </w:r>
      <w:r w:rsidDel="00000000" w:rsidR="00000000" w:rsidRPr="00000000">
        <w:rPr>
          <w:b w:val="1"/>
          <w:rtl w:val="0"/>
        </w:rPr>
        <w:t xml:space="preserve"> </w:t>
      </w:r>
      <w:r w:rsidDel="00000000" w:rsidR="00000000" w:rsidRPr="00000000">
        <w:rPr>
          <w:rtl w:val="0"/>
        </w:rPr>
        <w:t xml:space="preserve">suelen concentrarse en pegmatitas, granitos peraluminosos, y depósitos hidrotermales, y se relacionan con minerales accesorios (monacita, xenotima, allanita) que pueden coexistir con espodumena, lepidolita o turmalinas litíferas. Su presencia sugiere un entorno fraccionado y enriquecido en elementos incompatibles , típico de magmas evolucionados que hospedan litio.</w:t>
        <w:br w:type="textWrapping"/>
      </w:r>
    </w:p>
    <w:p w:rsidR="00000000" w:rsidDel="00000000" w:rsidP="00000000" w:rsidRDefault="00000000" w:rsidRPr="00000000" w14:paraId="00000135">
      <w:pPr>
        <w:spacing w:after="240" w:before="240" w:lineRule="auto"/>
        <w:jc w:val="both"/>
        <w:rPr/>
      </w:pPr>
      <w:r w:rsidDel="00000000" w:rsidR="00000000" w:rsidRPr="00000000">
        <w:rPr>
          <w:b w:val="1"/>
          <w:rtl w:val="0"/>
        </w:rPr>
        <w:t xml:space="preserve">Metales de transición (Fe, Co, Zn, As): </w:t>
      </w:r>
      <w:r w:rsidDel="00000000" w:rsidR="00000000" w:rsidRPr="00000000">
        <w:rPr>
          <w:rtl w:val="0"/>
        </w:rPr>
        <w:t xml:space="preserve">Pueden marcar influencia hidrotermal o alteración. Zn y As son asociados a ambientes hidrotermales y mineralizaciones polimetálicas; si se correlacionan con Li, podría indicar redistribución por fluidos tardíos; mientras Co y Fe reflejan condiciones redox y presencia de minerales máficos/alteración hidrotermal.</w:t>
        <w:br w:type="textWrapping"/>
      </w:r>
    </w:p>
    <w:p w:rsidR="00000000" w:rsidDel="00000000" w:rsidP="00000000" w:rsidRDefault="00000000" w:rsidRPr="00000000" w14:paraId="00000136">
      <w:pPr>
        <w:spacing w:after="240" w:before="240" w:lineRule="auto"/>
        <w:jc w:val="both"/>
        <w:rPr/>
      </w:pPr>
      <w:r w:rsidDel="00000000" w:rsidR="00000000" w:rsidRPr="00000000">
        <w:rPr>
          <w:b w:val="1"/>
          <w:rtl w:val="0"/>
        </w:rPr>
        <w:t xml:space="preserve">Interpretación global:</w:t>
      </w:r>
      <w:r w:rsidDel="00000000" w:rsidR="00000000" w:rsidRPr="00000000">
        <w:rPr>
          <w:rtl w:val="0"/>
        </w:rPr>
        <w:t xml:space="preserve"> Los modelos captan la firma geoquímica de magmas altamente evolucionados y fluidos hidrotermales tardíos, los cuales son claves para la concentración de litio. La presencia de Cs + REE + Th + U es un “combo exploratorio” muy fuerte para pegmatitas litíferas. La asociación con Zn, As, Co, Fe puede señalar zonas donde hubo alteración hidrotermal que redistribuye o concentró litio.</w:t>
      </w:r>
    </w:p>
    <w:p w:rsidR="00000000" w:rsidDel="00000000" w:rsidP="00000000" w:rsidRDefault="00000000" w:rsidRPr="00000000" w14:paraId="00000137">
      <w:pPr>
        <w:spacing w:after="240" w:before="240" w:lineRule="auto"/>
        <w:jc w:val="both"/>
        <w:rPr/>
      </w:pPr>
      <w:r w:rsidDel="00000000" w:rsidR="00000000" w:rsidRPr="00000000">
        <w:rPr>
          <w:rtl w:val="0"/>
        </w:rPr>
      </w:r>
    </w:p>
    <w:p w:rsidR="00000000" w:rsidDel="00000000" w:rsidP="00000000" w:rsidRDefault="00000000" w:rsidRPr="00000000" w14:paraId="00000138">
      <w:pPr>
        <w:spacing w:after="240" w:before="240" w:lineRule="auto"/>
        <w:jc w:val="both"/>
        <w:rPr/>
      </w:pPr>
      <w:r w:rsidDel="00000000" w:rsidR="00000000" w:rsidRPr="00000000">
        <w:rPr>
          <w:rtl w:val="0"/>
        </w:rPr>
      </w:r>
    </w:p>
    <w:p w:rsidR="00000000" w:rsidDel="00000000" w:rsidP="00000000" w:rsidRDefault="00000000" w:rsidRPr="00000000" w14:paraId="00000139">
      <w:pPr>
        <w:spacing w:after="240" w:before="240" w:lineRule="auto"/>
        <w:jc w:val="both"/>
        <w:rPr/>
      </w:pPr>
      <w:r w:rsidDel="00000000" w:rsidR="00000000" w:rsidRPr="00000000">
        <w:rPr>
          <w:rtl w:val="0"/>
        </w:rPr>
      </w:r>
    </w:p>
    <w:p w:rsidR="00000000" w:rsidDel="00000000" w:rsidP="00000000" w:rsidRDefault="00000000" w:rsidRPr="00000000" w14:paraId="0000013A">
      <w:pPr>
        <w:pStyle w:val="Heading2"/>
        <w:keepNext w:val="0"/>
        <w:keepLines w:val="0"/>
        <w:spacing w:after="80" w:before="360" w:lineRule="auto"/>
        <w:jc w:val="both"/>
        <w:rPr>
          <w:rFonts w:ascii="Cambria" w:cs="Cambria" w:eastAsia="Cambria" w:hAnsi="Cambria"/>
          <w:color w:val="000000"/>
          <w:sz w:val="22"/>
          <w:szCs w:val="22"/>
        </w:rPr>
      </w:pPr>
      <w:bookmarkStart w:colFirst="0" w:colLast="0" w:name="_heading=h.j7upfx68ouk3" w:id="1"/>
      <w:bookmarkEnd w:id="1"/>
      <w:r w:rsidDel="00000000" w:rsidR="00000000" w:rsidRPr="00000000">
        <w:rPr>
          <w:rFonts w:ascii="Cambria" w:cs="Cambria" w:eastAsia="Cambria" w:hAnsi="Cambria"/>
          <w:color w:val="000000"/>
          <w:sz w:val="22"/>
          <w:szCs w:val="22"/>
          <w:rtl w:val="0"/>
        </w:rPr>
        <w:t xml:space="preserve">2) Recomendaciones</w:t>
      </w:r>
    </w:p>
    <w:p w:rsidR="00000000" w:rsidDel="00000000" w:rsidP="00000000" w:rsidRDefault="00000000" w:rsidRPr="00000000" w14:paraId="0000013B">
      <w:pPr>
        <w:numPr>
          <w:ilvl w:val="0"/>
          <w:numId w:val="7"/>
        </w:numPr>
        <w:spacing w:after="0" w:afterAutospacing="0" w:before="240" w:lineRule="auto"/>
        <w:ind w:left="720" w:hanging="360"/>
        <w:jc w:val="both"/>
        <w:rPr/>
      </w:pPr>
      <w:r w:rsidDel="00000000" w:rsidR="00000000" w:rsidRPr="00000000">
        <w:rPr>
          <w:rtl w:val="0"/>
        </w:rPr>
        <w:t xml:space="preserve">Incluir más muestras, especialmente en sectores con pocos datos, para mejorar la representatividad espacial y estadística del modelo.</w:t>
        <w:br w:type="textWrapping"/>
      </w:r>
    </w:p>
    <w:p w:rsidR="00000000" w:rsidDel="00000000" w:rsidP="00000000" w:rsidRDefault="00000000" w:rsidRPr="00000000" w14:paraId="0000013C">
      <w:pPr>
        <w:numPr>
          <w:ilvl w:val="0"/>
          <w:numId w:val="3"/>
        </w:numPr>
        <w:spacing w:after="0" w:afterAutospacing="0" w:before="0" w:beforeAutospacing="0" w:lineRule="auto"/>
        <w:ind w:left="720" w:hanging="360"/>
        <w:jc w:val="both"/>
        <w:rPr/>
      </w:pPr>
      <w:r w:rsidDel="00000000" w:rsidR="00000000" w:rsidRPr="00000000">
        <w:rPr>
          <w:rtl w:val="0"/>
        </w:rPr>
        <w:t xml:space="preserve">Combinar la geoquímica con mapas litológicos, estructurales y datos geofísicos, para mejorar la interpretación de las anomalías predichas.</w:t>
        <w:br w:type="textWrapping"/>
      </w:r>
    </w:p>
    <w:p w:rsidR="00000000" w:rsidDel="00000000" w:rsidP="00000000" w:rsidRDefault="00000000" w:rsidRPr="00000000" w14:paraId="0000013D">
      <w:pPr>
        <w:numPr>
          <w:ilvl w:val="0"/>
          <w:numId w:val="8"/>
        </w:numPr>
        <w:spacing w:after="0" w:afterAutospacing="0" w:before="0" w:beforeAutospacing="0" w:lineRule="auto"/>
        <w:ind w:left="720" w:hanging="360"/>
        <w:jc w:val="both"/>
        <w:rPr/>
      </w:pPr>
      <w:r w:rsidDel="00000000" w:rsidR="00000000" w:rsidRPr="00000000">
        <w:rPr>
          <w:rtl w:val="0"/>
        </w:rPr>
        <w:t xml:space="preserve">Prestar especial atención a Cs, REE (Y, Dy, Tb, Ho, Er), Th, U y W, que aparecen como los mejores predictores de Li, tanto en el modelo como en el marco geológico.</w:t>
        <w:br w:type="textWrapping"/>
      </w:r>
    </w:p>
    <w:p w:rsidR="00000000" w:rsidDel="00000000" w:rsidP="00000000" w:rsidRDefault="00000000" w:rsidRPr="00000000" w14:paraId="0000013E">
      <w:pPr>
        <w:numPr>
          <w:ilvl w:val="0"/>
          <w:numId w:val="6"/>
        </w:numPr>
        <w:spacing w:after="0" w:afterAutospacing="0" w:before="0" w:beforeAutospacing="0" w:lineRule="auto"/>
        <w:ind w:left="720" w:hanging="360"/>
        <w:jc w:val="both"/>
        <w:rPr/>
      </w:pPr>
      <w:r w:rsidDel="00000000" w:rsidR="00000000" w:rsidRPr="00000000">
        <w:rPr>
          <w:rtl w:val="0"/>
        </w:rPr>
        <w:t xml:space="preserve">Exportar los resultados predichos a un GIS y aplicar interpolación geoestadística (kriging, co-kriging con Cs u otros REE) para generar mapas continuos de anomalías.</w:t>
        <w:br w:type="textWrapping"/>
      </w:r>
    </w:p>
    <w:p w:rsidR="00000000" w:rsidDel="00000000" w:rsidP="00000000" w:rsidRDefault="00000000" w:rsidRPr="00000000" w14:paraId="0000013F">
      <w:pPr>
        <w:numPr>
          <w:ilvl w:val="0"/>
          <w:numId w:val="2"/>
        </w:numPr>
        <w:spacing w:after="0" w:afterAutospacing="0" w:before="0" w:beforeAutospacing="0" w:lineRule="auto"/>
        <w:ind w:left="720" w:hanging="360"/>
        <w:jc w:val="both"/>
        <w:rPr/>
      </w:pPr>
      <w:r w:rsidDel="00000000" w:rsidR="00000000" w:rsidRPr="00000000">
        <w:rPr>
          <w:rtl w:val="0"/>
        </w:rPr>
        <w:t xml:space="preserve">Validar las predicciones con muestreos adicionales o compararlas con depósitos conocidos para comprobar la capacidad del modelo de identificar zonas prospectivas.</w:t>
        <w:br w:type="textWrapping"/>
      </w:r>
      <w:r w:rsidDel="00000000" w:rsidR="00000000" w:rsidRPr="00000000">
        <w:rPr>
          <w:rtl w:val="0"/>
        </w:rPr>
      </w:r>
    </w:p>
    <w:p w:rsidR="00000000" w:rsidDel="00000000" w:rsidP="00000000" w:rsidRDefault="00000000" w:rsidRPr="00000000" w14:paraId="00000140">
      <w:pPr>
        <w:numPr>
          <w:ilvl w:val="0"/>
          <w:numId w:val="4"/>
        </w:numPr>
        <w:spacing w:after="240" w:before="0" w:beforeAutospacing="0" w:lineRule="auto"/>
        <w:ind w:left="720" w:hanging="360"/>
        <w:jc w:val="both"/>
        <w:rPr/>
      </w:pPr>
      <w:r w:rsidDel="00000000" w:rsidR="00000000" w:rsidRPr="00000000">
        <w:rPr>
          <w:rtl w:val="0"/>
        </w:rPr>
        <w:t xml:space="preserve">Usar las predicciones de Li no como valor absoluto, sino como zonas de anomalía relativa para priorizar campañas de muestreo, perforación o análisis mineralógico detallado.</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b w:val="1"/>
        </w:rPr>
      </w:pPr>
      <w:r w:rsidDel="00000000" w:rsidR="00000000" w:rsidRPr="00000000">
        <w:rPr>
          <w:b w:val="1"/>
          <w:rtl w:val="0"/>
        </w:rPr>
        <w:t xml:space="preserve">3) Limitaciones</w:t>
      </w:r>
    </w:p>
    <w:p w:rsidR="00000000" w:rsidDel="00000000" w:rsidP="00000000" w:rsidRDefault="00000000" w:rsidRPr="00000000" w14:paraId="00000143">
      <w:pPr>
        <w:numPr>
          <w:ilvl w:val="0"/>
          <w:numId w:val="5"/>
        </w:numPr>
        <w:spacing w:after="0" w:afterAutospacing="0" w:before="240" w:lineRule="auto"/>
        <w:ind w:left="720" w:hanging="360"/>
        <w:jc w:val="both"/>
        <w:rPr/>
      </w:pPr>
      <w:r w:rsidDel="00000000" w:rsidR="00000000" w:rsidRPr="00000000">
        <w:rPr>
          <w:rtl w:val="0"/>
        </w:rPr>
        <w:t xml:space="preserve">El modelo sólo es confiable dentro del rango de composiciones químicas presentes en el dataset. No puede extrapolar a contextos geológicos diferentes donde no se entrenó.</w:t>
        <w:br w:type="textWrapping"/>
      </w:r>
    </w:p>
    <w:p w:rsidR="00000000" w:rsidDel="00000000" w:rsidP="00000000" w:rsidRDefault="00000000" w:rsidRPr="00000000" w14:paraId="00000144">
      <w:pPr>
        <w:numPr>
          <w:ilvl w:val="0"/>
          <w:numId w:val="5"/>
        </w:numPr>
        <w:spacing w:after="0" w:afterAutospacing="0" w:before="0" w:beforeAutospacing="0" w:lineRule="auto"/>
        <w:ind w:left="720" w:hanging="360"/>
        <w:jc w:val="both"/>
        <w:rPr/>
      </w:pPr>
      <w:r w:rsidDel="00000000" w:rsidR="00000000" w:rsidRPr="00000000">
        <w:rPr>
          <w:rtl w:val="0"/>
        </w:rPr>
        <w:t xml:space="preserve">Aunque ciertos elementos correlacionan bien, el litio también depende de factores mineralógicos y texturales (espodumena, lepidolita, arcillas litíferas) que no se capturan solo con geoquímica total.</w:t>
        <w:br w:type="textWrapping"/>
      </w:r>
    </w:p>
    <w:p w:rsidR="00000000" w:rsidDel="00000000" w:rsidP="00000000" w:rsidRDefault="00000000" w:rsidRPr="00000000" w14:paraId="00000145">
      <w:pPr>
        <w:numPr>
          <w:ilvl w:val="0"/>
          <w:numId w:val="5"/>
        </w:numPr>
        <w:spacing w:after="0" w:afterAutospacing="0" w:before="0" w:beforeAutospacing="0" w:lineRule="auto"/>
        <w:ind w:left="720" w:hanging="360"/>
        <w:jc w:val="both"/>
        <w:rPr/>
      </w:pPr>
      <w:r w:rsidDel="00000000" w:rsidR="00000000" w:rsidRPr="00000000">
        <w:rPr>
          <w:rtl w:val="0"/>
        </w:rPr>
        <w:t xml:space="preserve">El modelo se basa únicamente en geoquímica, sin integrar mineralogía, geología de campo o controles estructurales, lo cual puede limitar la interpretación geológica real.</w:t>
        <w:br w:type="textWrapping"/>
      </w:r>
    </w:p>
    <w:p w:rsidR="00000000" w:rsidDel="00000000" w:rsidP="00000000" w:rsidRDefault="00000000" w:rsidRPr="00000000" w14:paraId="00000146">
      <w:pPr>
        <w:numPr>
          <w:ilvl w:val="0"/>
          <w:numId w:val="5"/>
        </w:numPr>
        <w:spacing w:after="0" w:afterAutospacing="0" w:before="0" w:beforeAutospacing="0" w:lineRule="auto"/>
        <w:ind w:left="720" w:hanging="360"/>
        <w:jc w:val="both"/>
        <w:rPr/>
      </w:pPr>
      <w:r w:rsidDel="00000000" w:rsidR="00000000" w:rsidRPr="00000000">
        <w:rPr>
          <w:rtl w:val="0"/>
        </w:rPr>
        <w:t xml:space="preserve">El mapa basado en muestras puntuales no refleja continuidad total; requiere interpolación y puede inducir falsas anomalías si la densidad de muestreo es baja.</w:t>
        <w:br w:type="textWrapping"/>
      </w:r>
    </w:p>
    <w:p w:rsidR="00000000" w:rsidDel="00000000" w:rsidP="00000000" w:rsidRDefault="00000000" w:rsidRPr="00000000" w14:paraId="00000147">
      <w:pPr>
        <w:numPr>
          <w:ilvl w:val="0"/>
          <w:numId w:val="5"/>
        </w:numPr>
        <w:spacing w:after="0" w:afterAutospacing="0" w:before="0" w:beforeAutospacing="0" w:lineRule="auto"/>
        <w:ind w:left="720" w:hanging="360"/>
        <w:jc w:val="both"/>
        <w:rPr/>
      </w:pPr>
      <w:r w:rsidDel="00000000" w:rsidR="00000000" w:rsidRPr="00000000">
        <w:rPr>
          <w:rtl w:val="0"/>
        </w:rPr>
        <w:t xml:space="preserve">Aunque Random Forest y MLP son robustos, valores atípicos en concentraciones de elementos traza pueden influir en la importancia de variables y predicciones.</w:t>
        <w:br w:type="textWrapping"/>
      </w:r>
    </w:p>
    <w:p w:rsidR="00000000" w:rsidDel="00000000" w:rsidP="00000000" w:rsidRDefault="00000000" w:rsidRPr="00000000" w14:paraId="00000148">
      <w:pPr>
        <w:numPr>
          <w:ilvl w:val="0"/>
          <w:numId w:val="5"/>
        </w:numPr>
        <w:spacing w:after="240" w:before="0" w:beforeAutospacing="0" w:lineRule="auto"/>
        <w:ind w:left="720" w:hanging="360"/>
        <w:jc w:val="both"/>
        <w:rPr>
          <w:b w:val="1"/>
          <w:u w:val="none"/>
        </w:rPr>
      </w:pPr>
      <w:r w:rsidDel="00000000" w:rsidR="00000000" w:rsidRPr="00000000">
        <w:rPr>
          <w:rtl w:val="0"/>
        </w:rPr>
        <w:t xml:space="preserve">En modelos como MLP (redes neuronales) la interpretación es menos intuitiva que en regresiones lineales, lo que dificulta justificar geológicamente algunas relaciones.</w:t>
      </w:r>
      <w:r w:rsidDel="00000000" w:rsidR="00000000" w:rsidRPr="00000000">
        <w:rPr>
          <w:b w:val="1"/>
          <w:rtl w:val="0"/>
        </w:rPr>
        <w:br w:type="textWrapping"/>
      </w:r>
    </w:p>
    <w:p w:rsidR="00000000" w:rsidDel="00000000" w:rsidP="00000000" w:rsidRDefault="00000000" w:rsidRPr="00000000" w14:paraId="00000149">
      <w:pPr>
        <w:jc w:val="both"/>
        <w:rPr>
          <w:b w:val="1"/>
        </w:rPr>
      </w:pPr>
      <w:r w:rsidDel="00000000" w:rsidR="00000000" w:rsidRPr="00000000">
        <w:rPr>
          <w:b w:val="1"/>
          <w:rtl w:val="0"/>
        </w:rPr>
        <w:t xml:space="preserve">4) Posibles investigaciones futuras</w:t>
      </w:r>
    </w:p>
    <w:p w:rsidR="00000000" w:rsidDel="00000000" w:rsidP="00000000" w:rsidRDefault="00000000" w:rsidRPr="00000000" w14:paraId="0000014A">
      <w:pPr>
        <w:numPr>
          <w:ilvl w:val="0"/>
          <w:numId w:val="1"/>
        </w:numPr>
        <w:spacing w:after="0" w:afterAutospacing="0" w:before="240" w:lineRule="auto"/>
        <w:ind w:left="720" w:hanging="360"/>
        <w:jc w:val="both"/>
        <w:rPr/>
      </w:pPr>
      <w:r w:rsidDel="00000000" w:rsidR="00000000" w:rsidRPr="00000000">
        <w:rPr>
          <w:rtl w:val="0"/>
        </w:rPr>
        <w:t xml:space="preserve">Hacer mapas de anomalías combinadas de Cs + REE + Th/U + W con el fin de priorizar sectores de exploración.</w:t>
      </w:r>
    </w:p>
    <w:p w:rsidR="00000000" w:rsidDel="00000000" w:rsidP="00000000" w:rsidRDefault="00000000" w:rsidRPr="00000000" w14:paraId="0000014B">
      <w:pPr>
        <w:numPr>
          <w:ilvl w:val="0"/>
          <w:numId w:val="1"/>
        </w:numPr>
        <w:spacing w:after="240" w:before="0" w:beforeAutospacing="0" w:lineRule="auto"/>
        <w:ind w:left="720" w:hanging="360"/>
        <w:jc w:val="both"/>
        <w:rPr/>
      </w:pPr>
      <w:r w:rsidDel="00000000" w:rsidR="00000000" w:rsidRPr="00000000">
        <w:rPr>
          <w:rtl w:val="0"/>
        </w:rPr>
        <w:t xml:space="preserve">Hacer un mapa de zonas con anomalías de Zn, As, Co asociadas al litio predicho por ML con el fin de identificar flujo de fluidos tardíos (lugares de removilización y enriquecimiento secundario).</w:t>
      </w:r>
    </w:p>
    <w:p w:rsidR="00000000" w:rsidDel="00000000" w:rsidP="00000000" w:rsidRDefault="00000000" w:rsidRPr="00000000" w14:paraId="0000014C">
      <w:pPr>
        <w:spacing w:after="240" w:before="240" w:lineRule="auto"/>
        <w:jc w:val="both"/>
        <w:rPr/>
      </w:pPr>
      <w:r w:rsidDel="00000000" w:rsidR="00000000" w:rsidRPr="00000000">
        <w:rPr>
          <w:rtl w:val="0"/>
        </w:rPr>
      </w:r>
    </w:p>
    <w:p w:rsidR="00000000" w:rsidDel="00000000" w:rsidP="00000000" w:rsidRDefault="00000000" w:rsidRPr="00000000" w14:paraId="0000014D">
      <w:pPr>
        <w:spacing w:after="240" w:before="240" w:lineRule="auto"/>
        <w:jc w:val="both"/>
        <w:rPr/>
      </w:pPr>
      <w:r w:rsidDel="00000000" w:rsidR="00000000" w:rsidRPr="00000000">
        <w:rPr>
          <w:rtl w:val="0"/>
        </w:rPr>
      </w:r>
    </w:p>
    <w:p w:rsidR="00000000" w:rsidDel="00000000" w:rsidP="00000000" w:rsidRDefault="00000000" w:rsidRPr="00000000" w14:paraId="0000014E">
      <w:pPr>
        <w:spacing w:after="240" w:before="240" w:lineRule="auto"/>
        <w:jc w:val="center"/>
        <w:rPr>
          <w:b w:val="1"/>
          <w:sz w:val="24"/>
          <w:szCs w:val="24"/>
        </w:rPr>
      </w:pPr>
      <w:r w:rsidDel="00000000" w:rsidR="00000000" w:rsidRPr="00000000">
        <w:rPr>
          <w:b w:val="1"/>
          <w:sz w:val="24"/>
          <w:szCs w:val="24"/>
          <w:rtl w:val="0"/>
        </w:rPr>
        <w:t xml:space="preserve">Referencias bibliográficas</w:t>
      </w:r>
    </w:p>
    <w:p w:rsidR="00000000" w:rsidDel="00000000" w:rsidP="00000000" w:rsidRDefault="00000000" w:rsidRPr="00000000" w14:paraId="0000014F">
      <w:pPr>
        <w:spacing w:after="240" w:before="240" w:lineRule="auto"/>
        <w:jc w:val="both"/>
        <w:rPr/>
      </w:pPr>
      <w:r w:rsidDel="00000000" w:rsidR="00000000" w:rsidRPr="00000000">
        <w:rPr>
          <w:color w:val="1a1a1a"/>
          <w:highlight w:val="white"/>
          <w:rtl w:val="0"/>
        </w:rPr>
        <w:t xml:space="preserve">Luiza Maria Pereira Pierangeli</w:t>
      </w:r>
      <w:r w:rsidDel="00000000" w:rsidR="00000000" w:rsidRPr="00000000">
        <w:rPr>
          <w:color w:val="00436d"/>
          <w:highlight w:val="white"/>
          <w:rtl w:val="0"/>
        </w:rPr>
        <w:t xml:space="preserve">, </w:t>
      </w:r>
      <w:r w:rsidDel="00000000" w:rsidR="00000000" w:rsidRPr="00000000">
        <w:rPr>
          <w:color w:val="1a1a1a"/>
          <w:highlight w:val="white"/>
          <w:rtl w:val="0"/>
        </w:rPr>
        <w:t xml:space="preserve">Mona-Liza C. Sirbescu</w:t>
      </w:r>
      <w:r w:rsidDel="00000000" w:rsidR="00000000" w:rsidRPr="00000000">
        <w:rPr>
          <w:color w:val="00436d"/>
          <w:highlight w:val="white"/>
          <w:rtl w:val="0"/>
        </w:rPr>
        <w:t xml:space="preserve">, </w:t>
      </w:r>
      <w:r w:rsidDel="00000000" w:rsidR="00000000" w:rsidRPr="00000000">
        <w:rPr>
          <w:color w:val="1a1a1a"/>
          <w:highlight w:val="white"/>
          <w:rtl w:val="0"/>
        </w:rPr>
        <w:t xml:space="preserve">Sérgio Henrique Godinho Silva</w:t>
      </w:r>
      <w:r w:rsidDel="00000000" w:rsidR="00000000" w:rsidRPr="00000000">
        <w:rPr>
          <w:color w:val="00436d"/>
          <w:highlight w:val="white"/>
          <w:rtl w:val="0"/>
        </w:rPr>
        <w:t xml:space="preserve">, </w:t>
      </w:r>
      <w:r w:rsidDel="00000000" w:rsidR="00000000" w:rsidRPr="00000000">
        <w:rPr>
          <w:color w:val="1a1a1a"/>
          <w:highlight w:val="white"/>
          <w:rtl w:val="0"/>
        </w:rPr>
        <w:t xml:space="preserve">David C. Weindorf</w:t>
      </w:r>
      <w:r w:rsidDel="00000000" w:rsidR="00000000" w:rsidRPr="00000000">
        <w:rPr>
          <w:color w:val="00436d"/>
          <w:highlight w:val="white"/>
          <w:rtl w:val="0"/>
        </w:rPr>
        <w:t xml:space="preserve">, </w:t>
      </w:r>
      <w:r w:rsidDel="00000000" w:rsidR="00000000" w:rsidRPr="00000000">
        <w:rPr>
          <w:color w:val="1a1a1a"/>
          <w:highlight w:val="white"/>
          <w:rtl w:val="0"/>
        </w:rPr>
        <w:t xml:space="preserve">Thomas R. Benson</w:t>
      </w:r>
      <w:r w:rsidDel="00000000" w:rsidR="00000000" w:rsidRPr="00000000">
        <w:rPr>
          <w:color w:val="00436d"/>
          <w:highlight w:val="white"/>
          <w:rtl w:val="0"/>
        </w:rPr>
        <w:t xml:space="preserve">, </w:t>
      </w:r>
      <w:r w:rsidDel="00000000" w:rsidR="00000000" w:rsidRPr="00000000">
        <w:rPr>
          <w:color w:val="1a1a1a"/>
          <w:highlight w:val="white"/>
          <w:rtl w:val="0"/>
        </w:rPr>
        <w:t xml:space="preserve">Nilton Curi; Soil Geochemistry Toward Lithium Pegmatite Exploration: Building a Machine-Learning Predictive Algorithm via Portable X-Ray Fluorescence. </w:t>
      </w:r>
      <w:r w:rsidDel="00000000" w:rsidR="00000000" w:rsidRPr="00000000">
        <w:rPr>
          <w:i w:val="1"/>
          <w:color w:val="1a1a1a"/>
          <w:highlight w:val="white"/>
          <w:rtl w:val="0"/>
        </w:rPr>
        <w:t xml:space="preserve">Economic Geology</w:t>
      </w:r>
      <w:r w:rsidDel="00000000" w:rsidR="00000000" w:rsidRPr="00000000">
        <w:rPr>
          <w:color w:val="1a1a1a"/>
          <w:highlight w:val="white"/>
          <w:rtl w:val="0"/>
        </w:rPr>
        <w:t xml:space="preserve"> 2025; doi: </w:t>
      </w:r>
      <w:hyperlink r:id="rId18">
        <w:r w:rsidDel="00000000" w:rsidR="00000000" w:rsidRPr="00000000">
          <w:rPr>
            <w:color w:val="00436d"/>
            <w:highlight w:val="white"/>
            <w:rtl w:val="0"/>
          </w:rPr>
          <w:t xml:space="preserve">https://doi.org/10.5382/econgeo.5166</w:t>
        </w:r>
      </w:hyperlink>
      <w:r w:rsidDel="00000000" w:rsidR="00000000" w:rsidRPr="00000000">
        <w:rPr>
          <w:rtl w:val="0"/>
        </w:rPr>
      </w:r>
    </w:p>
    <w:sectPr>
      <w:headerReference r:id="rId19"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s-CO"/>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5f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0"/>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0"/>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qFormat w:val="1"/>
    <w:pPr>
      <w:keepNext w:val="1"/>
      <w:keepLines w:val="1"/>
      <w:spacing w:after="0" w:before="200"/>
      <w:outlineLvl w:val="6"/>
    </w:pPr>
    <w:rPr>
      <w:rFonts w:ascii="Calibri" w:eastAsia="MS Gothic" w:hAnsi="Calibri"/>
      <w:i w:val="1"/>
      <w:iCs w:val="1"/>
      <w:color w:val="404040"/>
    </w:rPr>
  </w:style>
  <w:style w:type="paragraph" w:styleId="Heading8">
    <w:name w:val="heading 8"/>
    <w:basedOn w:val="Normal"/>
    <w:next w:val="Normal"/>
    <w:link w:val="Heading8Char"/>
    <w:uiPriority w:val="9"/>
    <w:qFormat w:val="1"/>
    <w:pPr>
      <w:keepNext w:val="1"/>
      <w:keepLines w:val="1"/>
      <w:spacing w:after="0" w:before="200"/>
      <w:outlineLvl w:val="7"/>
    </w:pPr>
    <w:rPr>
      <w:rFonts w:ascii="Calibri" w:eastAsia="MS Gothic" w:hAnsi="Calibri"/>
      <w:color w:val="4f81bd"/>
      <w:sz w:val="20"/>
      <w:szCs w:val="20"/>
    </w:rPr>
  </w:style>
  <w:style w:type="paragraph" w:styleId="Heading9">
    <w:name w:val="heading 9"/>
    <w:basedOn w:val="Normal"/>
    <w:next w:val="Normal"/>
    <w:link w:val="Heading9Char"/>
    <w:uiPriority w:val="9"/>
    <w:qFormat w:val="1"/>
    <w:pPr>
      <w:keepNext w:val="1"/>
      <w:keepLines w:val="1"/>
      <w:spacing w:after="0" w:before="200"/>
      <w:outlineLvl w:val="8"/>
    </w:pPr>
    <w:rPr>
      <w:rFonts w:ascii="Calibri" w:eastAsia="MS Gothic" w:hAnsi="Calibri"/>
      <w:i w:val="1"/>
      <w:iCs w:val="1"/>
      <w:color w:val="40404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NoSpacing">
    <w:name w:val="No Spacing"/>
    <w:uiPriority w:val="1"/>
    <w:qFormat w:val="1"/>
    <w:pPr>
      <w:spacing w:after="0" w:line="240" w:lineRule="auto"/>
    </w:pPr>
  </w:style>
  <w:style w:type="character" w:styleId="Heading1Char" w:customStyle="1">
    <w:name w:val="Heading 1 Char"/>
    <w:basedOn w:val="DefaultParagraphFont"/>
    <w:link w:val="Heading1"/>
    <w:uiPriority w:val="9"/>
    <w:rPr>
      <w:rFonts w:ascii="Calibri" w:cs="SimSun" w:eastAsia="MS Gothic" w:hAnsi="Calibri"/>
      <w:b w:val="1"/>
      <w:bCs w:val="1"/>
      <w:color w:val="365f91"/>
      <w:sz w:val="28"/>
      <w:szCs w:val="28"/>
    </w:rPr>
  </w:style>
  <w:style w:type="character" w:styleId="Heading2Char" w:customStyle="1">
    <w:name w:val="Heading 2 Char"/>
    <w:basedOn w:val="DefaultParagraphFont"/>
    <w:link w:val="Heading2"/>
    <w:uiPriority w:val="9"/>
    <w:rPr>
      <w:rFonts w:ascii="Calibri" w:cs="SimSun" w:eastAsia="MS Gothic" w:hAnsi="Calibri"/>
      <w:b w:val="1"/>
      <w:bCs w:val="1"/>
      <w:color w:val="4f81bd"/>
      <w:sz w:val="26"/>
      <w:szCs w:val="26"/>
    </w:rPr>
  </w:style>
  <w:style w:type="character" w:styleId="Heading3Char" w:customStyle="1">
    <w:name w:val="Heading 3 Char"/>
    <w:basedOn w:val="DefaultParagraphFont"/>
    <w:link w:val="Heading3"/>
    <w:uiPriority w:val="9"/>
    <w:rPr>
      <w:rFonts w:ascii="Calibri" w:cs="SimSun" w:eastAsia="MS Gothic" w:hAnsi="Calibri"/>
      <w:b w:val="1"/>
      <w:bCs w:val="1"/>
      <w:color w:val="4f81bd"/>
    </w:rPr>
  </w:style>
  <w:style w:type="character" w:styleId="TitleChar" w:customStyle="1">
    <w:name w:val="Title Char"/>
    <w:basedOn w:val="DefaultParagraphFont"/>
    <w:link w:val="Title"/>
    <w:uiPriority w:val="10"/>
    <w:rPr>
      <w:rFonts w:ascii="Calibri" w:cs="SimSun" w:eastAsia="MS Gothic" w:hAnsi="Calibri"/>
      <w:color w:val="17365d"/>
      <w:spacing w:val="5"/>
      <w:kern w:val="28"/>
      <w:sz w:val="52"/>
      <w:szCs w:val="52"/>
    </w:rPr>
  </w:style>
  <w:style w:type="character" w:styleId="SubtitleChar" w:customStyle="1">
    <w:name w:val="Subtitle Char"/>
    <w:basedOn w:val="DefaultParagraphFont"/>
    <w:link w:val="Subtitle"/>
    <w:uiPriority w:val="11"/>
    <w:rPr>
      <w:rFonts w:ascii="Calibri" w:cs="SimSun" w:eastAsia="MS Gothic" w:hAnsi="Calibri"/>
      <w:i w:val="1"/>
      <w:iCs w:val="1"/>
      <w:color w:val="4f81bd"/>
      <w:spacing w:val="15"/>
      <w:sz w:val="24"/>
      <w:szCs w:val="24"/>
    </w:rPr>
  </w:style>
  <w:style w:type="paragraph" w:styleId="ListParagraph">
    <w:name w:val="List Paragraph"/>
    <w:basedOn w:val="Normal"/>
    <w:uiPriority w:val="34"/>
    <w:qFormat w:val="1"/>
    <w:pPr>
      <w:ind w:left="720"/>
      <w:contextualSpacing w:val="1"/>
    </w:pPr>
  </w:style>
  <w:style w:type="paragraph" w:styleId="BodyText">
    <w:name w:val="Body Text"/>
    <w:basedOn w:val="Normal"/>
    <w:link w:val="BodyTextChar"/>
    <w:uiPriority w:val="99"/>
    <w:pPr>
      <w:spacing w:after="120"/>
    </w:pPr>
  </w:style>
  <w:style w:type="character" w:styleId="BodyTextChar" w:customStyle="1">
    <w:name w:val="Body Text Char"/>
    <w:basedOn w:val="DefaultParagraphFont"/>
    <w:link w:val="BodyText"/>
    <w:uiPriority w:val="99"/>
  </w:style>
  <w:style w:type="paragraph" w:styleId="BodyText2">
    <w:name w:val="Body Text 2"/>
    <w:basedOn w:val="Normal"/>
    <w:link w:val="BodyText2Char"/>
    <w:uiPriority w:val="99"/>
    <w:pPr>
      <w:spacing w:after="120" w:line="480" w:lineRule="auto"/>
    </w:pPr>
  </w:style>
  <w:style w:type="character" w:styleId="BodyText2Char" w:customStyle="1">
    <w:name w:val="Body Text 2 Char"/>
    <w:basedOn w:val="DefaultParagraphFont"/>
    <w:link w:val="BodyText2"/>
    <w:uiPriority w:val="99"/>
  </w:style>
  <w:style w:type="paragraph" w:styleId="BodyText3">
    <w:name w:val="Body Text 3"/>
    <w:basedOn w:val="Normal"/>
    <w:link w:val="BodyText3Char"/>
    <w:uiPriority w:val="99"/>
    <w:pPr>
      <w:spacing w:after="120"/>
    </w:pPr>
    <w:rPr>
      <w:sz w:val="16"/>
      <w:szCs w:val="16"/>
    </w:rPr>
  </w:style>
  <w:style w:type="character" w:styleId="BodyText3Char" w:customStyle="1">
    <w:name w:val="Body Text 3 Char"/>
    <w:basedOn w:val="DefaultParagraphFont"/>
    <w:link w:val="BodyText3"/>
    <w:uiPriority w:val="99"/>
    <w:rPr>
      <w:sz w:val="16"/>
      <w:szCs w:val="16"/>
    </w:rPr>
  </w:style>
  <w:style w:type="paragraph" w:styleId="List">
    <w:name w:val="List"/>
    <w:basedOn w:val="Normal"/>
    <w:uiPriority w:val="99"/>
    <w:pPr>
      <w:ind w:left="360" w:hanging="360"/>
      <w:contextualSpacing w:val="1"/>
    </w:pPr>
  </w:style>
  <w:style w:type="paragraph" w:styleId="List2">
    <w:name w:val="List 2"/>
    <w:basedOn w:val="Normal"/>
    <w:uiPriority w:val="99"/>
    <w:pPr>
      <w:ind w:left="720" w:hanging="360"/>
      <w:contextualSpacing w:val="1"/>
    </w:pPr>
  </w:style>
  <w:style w:type="paragraph" w:styleId="List3">
    <w:name w:val="List 3"/>
    <w:basedOn w:val="Normal"/>
    <w:uiPriority w:val="99"/>
    <w:pPr>
      <w:ind w:left="1080" w:hanging="360"/>
      <w:contextualSpacing w:val="1"/>
    </w:pPr>
  </w:style>
  <w:style w:type="paragraph" w:styleId="ListBullet">
    <w:name w:val="List Bullet"/>
    <w:basedOn w:val="Normal"/>
    <w:uiPriority w:val="99"/>
    <w:pPr>
      <w:numPr>
        <w:numId w:val="1"/>
      </w:numPr>
      <w:contextualSpacing w:val="1"/>
    </w:pPr>
  </w:style>
  <w:style w:type="paragraph" w:styleId="ListBullet2">
    <w:name w:val="List Bullet 2"/>
    <w:basedOn w:val="Normal"/>
    <w:uiPriority w:val="99"/>
    <w:pPr>
      <w:numPr>
        <w:numId w:val="2"/>
      </w:numPr>
      <w:contextualSpacing w:val="1"/>
    </w:pPr>
  </w:style>
  <w:style w:type="paragraph" w:styleId="ListBullet3">
    <w:name w:val="List Bullet 3"/>
    <w:basedOn w:val="Normal"/>
    <w:uiPriority w:val="99"/>
    <w:pPr>
      <w:numPr>
        <w:numId w:val="3"/>
      </w:numPr>
      <w:contextualSpacing w:val="1"/>
    </w:pPr>
  </w:style>
  <w:style w:type="paragraph" w:styleId="ListNumber">
    <w:name w:val="List Number"/>
    <w:basedOn w:val="Normal"/>
    <w:uiPriority w:val="99"/>
    <w:pPr>
      <w:numPr>
        <w:numId w:val="4"/>
      </w:numPr>
      <w:contextualSpacing w:val="1"/>
    </w:pPr>
  </w:style>
  <w:style w:type="paragraph" w:styleId="ListNumber2">
    <w:name w:val="List Number 2"/>
    <w:basedOn w:val="Normal"/>
    <w:uiPriority w:val="99"/>
    <w:pPr>
      <w:numPr>
        <w:numId w:val="5"/>
      </w:numPr>
      <w:contextualSpacing w:val="1"/>
    </w:pPr>
  </w:style>
  <w:style w:type="paragraph" w:styleId="ListNumber3">
    <w:name w:val="List Number 3"/>
    <w:basedOn w:val="Normal"/>
    <w:uiPriority w:val="99"/>
    <w:pPr>
      <w:numPr>
        <w:numId w:val="6"/>
      </w:numPr>
      <w:contextualSpacing w:val="1"/>
    </w:pPr>
  </w:style>
  <w:style w:type="paragraph" w:styleId="ListContinue">
    <w:name w:val="List Continue"/>
    <w:basedOn w:val="Normal"/>
    <w:uiPriority w:val="99"/>
    <w:pPr>
      <w:spacing w:after="120"/>
      <w:ind w:left="360"/>
      <w:contextualSpacing w:val="1"/>
    </w:pPr>
  </w:style>
  <w:style w:type="paragraph" w:styleId="ListContinue2">
    <w:name w:val="List Continue 2"/>
    <w:basedOn w:val="Normal"/>
    <w:uiPriority w:val="99"/>
    <w:pPr>
      <w:spacing w:after="120"/>
      <w:ind w:left="720"/>
      <w:contextualSpacing w:val="1"/>
    </w:pPr>
  </w:style>
  <w:style w:type="paragraph" w:styleId="ListContinue3">
    <w:name w:val="List Continue 3"/>
    <w:basedOn w:val="Normal"/>
    <w:uiPriority w:val="99"/>
    <w:pPr>
      <w:spacing w:after="120"/>
      <w:ind w:left="1080"/>
      <w:contextualSpacing w:val="1"/>
    </w:pPr>
  </w:style>
  <w:style w:type="paragraph" w:styleId="MacroText">
    <w:name w:val="macro"/>
    <w:link w:val="MacroTextChar"/>
    <w:uiPriority w:val="99"/>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Pr>
      <w:rFonts w:ascii="Courier" w:hAnsi="Courier"/>
      <w:sz w:val="20"/>
      <w:szCs w:val="20"/>
    </w:rPr>
  </w:style>
  <w:style w:type="paragraph" w:styleId="Quote">
    <w:name w:val="Quote"/>
    <w:basedOn w:val="Normal"/>
    <w:next w:val="Normal"/>
    <w:link w:val="QuoteChar"/>
    <w:uiPriority w:val="29"/>
    <w:qFormat w:val="1"/>
    <w:rPr>
      <w:i w:val="1"/>
      <w:iCs w:val="1"/>
      <w:color w:val="000000"/>
    </w:rPr>
  </w:style>
  <w:style w:type="character" w:styleId="QuoteChar" w:customStyle="1">
    <w:name w:val="Quote Char"/>
    <w:basedOn w:val="DefaultParagraphFont"/>
    <w:link w:val="Quote"/>
    <w:uiPriority w:val="29"/>
    <w:rPr>
      <w:i w:val="1"/>
      <w:iCs w:val="1"/>
      <w:color w:val="000000"/>
    </w:rPr>
  </w:style>
  <w:style w:type="character" w:styleId="Heading4Char" w:customStyle="1">
    <w:name w:val="Heading 4 Char"/>
    <w:basedOn w:val="DefaultParagraphFont"/>
    <w:link w:val="Heading4"/>
    <w:uiPriority w:val="9"/>
    <w:rPr>
      <w:rFonts w:ascii="Calibri" w:cs="SimSun" w:eastAsia="MS Gothic" w:hAnsi="Calibri"/>
      <w:b w:val="1"/>
      <w:bCs w:val="1"/>
      <w:i w:val="1"/>
      <w:iCs w:val="1"/>
      <w:color w:val="4f81bd"/>
    </w:rPr>
  </w:style>
  <w:style w:type="character" w:styleId="Heading5Char" w:customStyle="1">
    <w:name w:val="Heading 5 Char"/>
    <w:basedOn w:val="DefaultParagraphFont"/>
    <w:link w:val="Heading5"/>
    <w:uiPriority w:val="9"/>
    <w:rPr>
      <w:rFonts w:ascii="Calibri" w:cs="SimSun" w:eastAsia="MS Gothic" w:hAnsi="Calibri"/>
      <w:color w:val="243f60"/>
    </w:rPr>
  </w:style>
  <w:style w:type="character" w:styleId="Heading6Char" w:customStyle="1">
    <w:name w:val="Heading 6 Char"/>
    <w:basedOn w:val="DefaultParagraphFont"/>
    <w:link w:val="Heading6"/>
    <w:uiPriority w:val="9"/>
    <w:rPr>
      <w:rFonts w:ascii="Calibri" w:cs="SimSun" w:eastAsia="MS Gothic" w:hAnsi="Calibri"/>
      <w:i w:val="1"/>
      <w:iCs w:val="1"/>
      <w:color w:val="243f60"/>
    </w:rPr>
  </w:style>
  <w:style w:type="character" w:styleId="Heading7Char" w:customStyle="1">
    <w:name w:val="Heading 7 Char"/>
    <w:basedOn w:val="DefaultParagraphFont"/>
    <w:link w:val="Heading7"/>
    <w:uiPriority w:val="9"/>
    <w:rPr>
      <w:rFonts w:ascii="Calibri" w:cs="SimSun" w:eastAsia="MS Gothic" w:hAnsi="Calibri"/>
      <w:i w:val="1"/>
      <w:iCs w:val="1"/>
      <w:color w:val="404040"/>
    </w:rPr>
  </w:style>
  <w:style w:type="character" w:styleId="Heading8Char" w:customStyle="1">
    <w:name w:val="Heading 8 Char"/>
    <w:basedOn w:val="DefaultParagraphFont"/>
    <w:link w:val="Heading8"/>
    <w:uiPriority w:val="9"/>
    <w:rPr>
      <w:rFonts w:ascii="Calibri" w:cs="SimSun" w:eastAsia="MS Gothic" w:hAnsi="Calibri"/>
      <w:color w:val="4f81bd"/>
      <w:sz w:val="20"/>
      <w:szCs w:val="20"/>
    </w:rPr>
  </w:style>
  <w:style w:type="character" w:styleId="Heading9Char" w:customStyle="1">
    <w:name w:val="Heading 9 Char"/>
    <w:basedOn w:val="DefaultParagraphFont"/>
    <w:link w:val="Heading9"/>
    <w:uiPriority w:val="9"/>
    <w:rPr>
      <w:rFonts w:ascii="Calibri" w:cs="SimSun" w:eastAsia="MS Gothic" w:hAnsi="Calibri"/>
      <w:i w:val="1"/>
      <w:iCs w:val="1"/>
      <w:color w:val="404040"/>
      <w:sz w:val="20"/>
      <w:szCs w:val="20"/>
    </w:rPr>
  </w:style>
  <w:style w:type="paragraph" w:styleId="Caption">
    <w:name w:val="caption"/>
    <w:basedOn w:val="Normal"/>
    <w:next w:val="Normal"/>
    <w:uiPriority w:val="35"/>
    <w:qFormat w:val="1"/>
    <w:pPr>
      <w:spacing w:line="240" w:lineRule="auto"/>
    </w:pPr>
    <w:rPr>
      <w:b w:val="1"/>
      <w:bCs w:val="1"/>
      <w:color w:val="4f81bd"/>
      <w:sz w:val="18"/>
      <w:szCs w:val="18"/>
    </w:rPr>
  </w:style>
  <w:style w:type="character" w:styleId="Strong">
    <w:name w:val="Strong"/>
    <w:basedOn w:val="DefaultParagraphFont"/>
    <w:uiPriority w:val="22"/>
    <w:qFormat w:val="1"/>
    <w:rPr>
      <w:b w:val="1"/>
      <w:bCs w:val="1"/>
    </w:rPr>
  </w:style>
  <w:style w:type="character" w:styleId="Emphasis">
    <w:name w:val="Emphasis"/>
    <w:basedOn w:val="DefaultParagraphFont"/>
    <w:uiPriority w:val="20"/>
    <w:qFormat w:val="1"/>
    <w:rPr>
      <w:i w:val="1"/>
      <w:iCs w:val="1"/>
    </w:rPr>
  </w:style>
  <w:style w:type="paragraph" w:styleId="IntenseQuote">
    <w:name w:val="Intense Quote"/>
    <w:basedOn w:val="Normal"/>
    <w:next w:val="Normal"/>
    <w:link w:val="IntenseQuoteChar"/>
    <w:uiPriority w:val="30"/>
    <w:qFormat w:val="1"/>
    <w:pPr>
      <w:pBdr>
        <w:bottom w:color="4f81bd" w:space="4" w:sz="4" w:val="single"/>
      </w:pBdr>
      <w:spacing w:after="280" w:before="200"/>
      <w:ind w:left="936" w:right="936"/>
    </w:pPr>
    <w:rPr>
      <w:b w:val="1"/>
      <w:bCs w:val="1"/>
      <w:i w:val="1"/>
      <w:iCs w:val="1"/>
      <w:color w:val="4f81bd"/>
    </w:rPr>
  </w:style>
  <w:style w:type="character" w:styleId="IntenseQuoteChar" w:customStyle="1">
    <w:name w:val="Intense Quote Char"/>
    <w:basedOn w:val="DefaultParagraphFont"/>
    <w:link w:val="IntenseQuote"/>
    <w:uiPriority w:val="30"/>
    <w:rPr>
      <w:b w:val="1"/>
      <w:bCs w:val="1"/>
      <w:i w:val="1"/>
      <w:iCs w:val="1"/>
      <w:color w:val="4f81bd"/>
    </w:rPr>
  </w:style>
  <w:style w:type="character" w:styleId="SubtleEmphasis">
    <w:name w:val="Subtle Emphasis"/>
    <w:basedOn w:val="DefaultParagraphFont"/>
    <w:uiPriority w:val="19"/>
    <w:qFormat w:val="1"/>
    <w:rPr>
      <w:i w:val="1"/>
      <w:iCs w:val="1"/>
      <w:color w:val="808080"/>
    </w:rPr>
  </w:style>
  <w:style w:type="character" w:styleId="IntenseEmphasis">
    <w:name w:val="Intense Emphasis"/>
    <w:basedOn w:val="DefaultParagraphFont"/>
    <w:uiPriority w:val="21"/>
    <w:qFormat w:val="1"/>
    <w:rPr>
      <w:b w:val="1"/>
      <w:bCs w:val="1"/>
      <w:i w:val="1"/>
      <w:iCs w:val="1"/>
      <w:color w:val="4f81bd"/>
    </w:rPr>
  </w:style>
  <w:style w:type="character" w:styleId="SubtleReference">
    <w:name w:val="Subtle Reference"/>
    <w:basedOn w:val="DefaultParagraphFont"/>
    <w:uiPriority w:val="31"/>
    <w:qFormat w:val="1"/>
    <w:rPr>
      <w:smallCaps w:val="1"/>
      <w:color w:val="c0504d"/>
      <w:u w:val="single"/>
    </w:rPr>
  </w:style>
  <w:style w:type="character" w:styleId="IntenseReference">
    <w:name w:val="Intense Reference"/>
    <w:basedOn w:val="DefaultParagraphFont"/>
    <w:uiPriority w:val="32"/>
    <w:qFormat w:val="1"/>
    <w:rPr>
      <w:b w:val="1"/>
      <w:bCs w:val="1"/>
      <w:smallCaps w:val="1"/>
      <w:color w:val="c0504d"/>
      <w:spacing w:val="5"/>
      <w:u w:val="single"/>
    </w:rPr>
  </w:style>
  <w:style w:type="character" w:styleId="BookTitle">
    <w:name w:val="Book Title"/>
    <w:basedOn w:val="DefaultParagraphFont"/>
    <w:uiPriority w:val="33"/>
    <w:qFormat w:val="1"/>
    <w:rPr>
      <w:b w:val="1"/>
      <w:bCs w:val="1"/>
      <w:smallCaps w:val="1"/>
      <w:spacing w:val="5"/>
    </w:rPr>
  </w:style>
  <w:style w:type="paragraph" w:styleId="TOCHeading">
    <w:name w:val="TOC Heading"/>
    <w:basedOn w:val="Heading1"/>
    <w:next w:val="Normal"/>
    <w:uiPriority w:val="39"/>
    <w:qFormat w:val="1"/>
    <w:pPr>
      <w:outlineLvl w:val="9"/>
    </w:pPr>
  </w:style>
  <w:style w:type="table" w:styleId="TableGrid">
    <w:name w:val="Table Grid"/>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pPr>
      <w:spacing w:after="0" w:line="240" w:lineRule="auto"/>
    </w:pPr>
    <w:rPr>
      <w:color w:val="000000"/>
    </w:rPr>
    <w:tblPr>
      <w:tblStyleRowBandSize w:val="1"/>
      <w:tblStyleColBandSize w:val="1"/>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val="clear"/>
      </w:tcPr>
    </w:tblStylePr>
    <w:tblStylePr w:type="band1Horz">
      <w:tblPr/>
      <w:tcPr>
        <w:tcBorders>
          <w:left w:space="0" w:sz="0" w:val="nil"/>
          <w:right w:space="0" w:sz="0" w:val="nil"/>
          <w:insideH w:space="0" w:sz="0" w:val="nil"/>
          <w:insideV w:space="0" w:sz="0" w:val="nil"/>
        </w:tcBorders>
        <w:shd w:color="auto" w:fill="c0c0c0" w:val="clear"/>
      </w:tcPr>
    </w:tblStylePr>
  </w:style>
  <w:style w:type="table" w:styleId="LightShading-Accent1">
    <w:name w:val="Light Shading Accent 1"/>
    <w:basedOn w:val="TableNormal"/>
    <w:uiPriority w:val="60"/>
    <w:pPr>
      <w:spacing w:after="0" w:line="240" w:lineRule="auto"/>
    </w:pPr>
    <w:rPr>
      <w:color w:val="365f91"/>
    </w:rPr>
    <w:tblPr>
      <w:tblStyleRowBandSize w:val="1"/>
      <w:tblStyleColBandSize w:val="1"/>
      <w:tblBorders>
        <w:top w:color="4f81bd" w:space="0" w:sz="8" w:val="single"/>
        <w:bottom w:color="4f81bd" w:space="0" w:sz="8" w:val="single"/>
      </w:tblBorders>
    </w:tblPr>
    <w:tblStylePr w:type="firstRow">
      <w:pPr>
        <w:spacing w:after="0" w:before="0" w:line="240" w:lineRule="auto"/>
      </w:pPr>
      <w:rPr>
        <w:b w:val="1"/>
        <w:bCs w:val="1"/>
      </w:rPr>
      <w:tblPr/>
      <w:tcPr>
        <w:tcBorders>
          <w:top w:color="4f81bd" w:space="0" w:sz="8" w:val="single"/>
          <w:left w:space="0" w:sz="0" w:val="nil"/>
          <w:bottom w:color="4f81bd"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val="single"/>
          <w:left w:space="0" w:sz="0" w:val="nil"/>
          <w:bottom w:color="4f81bd"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val="clear"/>
      </w:tcPr>
    </w:tblStylePr>
    <w:tblStylePr w:type="band1Horz">
      <w:tblPr/>
      <w:tcPr>
        <w:tcBorders>
          <w:left w:space="0" w:sz="0" w:val="nil"/>
          <w:right w:space="0" w:sz="0" w:val="nil"/>
          <w:insideH w:space="0" w:sz="0" w:val="nil"/>
          <w:insideV w:space="0" w:sz="0" w:val="nil"/>
        </w:tcBorders>
        <w:shd w:color="auto" w:fill="d3dfee" w:val="clear"/>
      </w:tcPr>
    </w:tblStylePr>
  </w:style>
  <w:style w:type="table" w:styleId="LightShading-Accent2">
    <w:name w:val="Light Shading Accent 2"/>
    <w:basedOn w:val="TableNormal"/>
    <w:uiPriority w:val="60"/>
    <w:pPr>
      <w:spacing w:after="0" w:line="240" w:lineRule="auto"/>
    </w:pPr>
    <w:rPr>
      <w:color w:val="943634"/>
    </w:rPr>
    <w:tblPr>
      <w:tblStyleRowBandSize w:val="1"/>
      <w:tblStyleColBandSize w:val="1"/>
      <w:tblBorders>
        <w:top w:color="c0504d" w:space="0" w:sz="8" w:val="single"/>
        <w:bottom w:color="c0504d" w:space="0" w:sz="8" w:val="single"/>
      </w:tblBorders>
    </w:tblPr>
    <w:tblStylePr w:type="firstRow">
      <w:pPr>
        <w:spacing w:after="0" w:before="0" w:line="240" w:lineRule="auto"/>
      </w:pPr>
      <w:rPr>
        <w:b w:val="1"/>
        <w:bCs w:val="1"/>
      </w:rPr>
      <w:tblPr/>
      <w:tcPr>
        <w:tcBorders>
          <w:top w:color="c0504d" w:space="0" w:sz="8" w:val="single"/>
          <w:left w:space="0" w:sz="0" w:val="nil"/>
          <w:bottom w:color="c0504d"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val="single"/>
          <w:left w:space="0" w:sz="0" w:val="nil"/>
          <w:bottom w:color="c0504d"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val="clear"/>
      </w:tcPr>
    </w:tblStylePr>
    <w:tblStylePr w:type="band1Horz">
      <w:tblPr/>
      <w:tcPr>
        <w:tcBorders>
          <w:left w:space="0" w:sz="0" w:val="nil"/>
          <w:right w:space="0" w:sz="0" w:val="nil"/>
          <w:insideH w:space="0" w:sz="0" w:val="nil"/>
          <w:insideV w:space="0" w:sz="0" w:val="nil"/>
        </w:tcBorders>
        <w:shd w:color="auto" w:fill="efd3d2" w:val="clear"/>
      </w:tcPr>
    </w:tblStylePr>
  </w:style>
  <w:style w:type="table" w:styleId="LightShading-Accent3">
    <w:name w:val="Light Shading Accent 3"/>
    <w:basedOn w:val="TableNormal"/>
    <w:uiPriority w:val="60"/>
    <w:pPr>
      <w:spacing w:after="0" w:line="240" w:lineRule="auto"/>
    </w:pPr>
    <w:rPr>
      <w:color w:val="76923c"/>
    </w:rPr>
    <w:tblPr>
      <w:tblStyleRowBandSize w:val="1"/>
      <w:tblStyleColBandSize w:val="1"/>
      <w:tblBorders>
        <w:top w:color="9bbb59" w:space="0" w:sz="8" w:val="single"/>
        <w:bottom w:color="9bbb59" w:space="0" w:sz="8" w:val="single"/>
      </w:tblBorders>
    </w:tblPr>
    <w:tblStylePr w:type="firstRow">
      <w:pPr>
        <w:spacing w:after="0" w:before="0" w:line="240" w:lineRule="auto"/>
      </w:pPr>
      <w:rPr>
        <w:b w:val="1"/>
        <w:bCs w:val="1"/>
      </w:rPr>
      <w:tblPr/>
      <w:tcPr>
        <w:tcBorders>
          <w:top w:color="9bbb59" w:space="0" w:sz="8" w:val="single"/>
          <w:left w:space="0" w:sz="0" w:val="nil"/>
          <w:bottom w:color="9bbb59"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val="single"/>
          <w:left w:space="0" w:sz="0" w:val="nil"/>
          <w:bottom w:color="9bbb59"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val="clear"/>
      </w:tcPr>
    </w:tblStylePr>
    <w:tblStylePr w:type="band1Horz">
      <w:tblPr/>
      <w:tcPr>
        <w:tcBorders>
          <w:left w:space="0" w:sz="0" w:val="nil"/>
          <w:right w:space="0" w:sz="0" w:val="nil"/>
          <w:insideH w:space="0" w:sz="0" w:val="nil"/>
          <w:insideV w:space="0" w:sz="0" w:val="nil"/>
        </w:tcBorders>
        <w:shd w:color="auto" w:fill="e6eed5" w:val="clear"/>
      </w:tcPr>
    </w:tblStylePr>
  </w:style>
  <w:style w:type="table" w:styleId="LightShading-Accent4">
    <w:name w:val="Light Shading Accent 4"/>
    <w:basedOn w:val="TableNormal"/>
    <w:uiPriority w:val="60"/>
    <w:pPr>
      <w:spacing w:after="0" w:line="240" w:lineRule="auto"/>
    </w:pPr>
    <w:rPr>
      <w:color w:val="5f497a"/>
    </w:rPr>
    <w:tblPr>
      <w:tblStyleRowBandSize w:val="1"/>
      <w:tblStyleColBandSize w:val="1"/>
      <w:tblBorders>
        <w:top w:color="8064a2" w:space="0" w:sz="8" w:val="single"/>
        <w:bottom w:color="8064a2" w:space="0" w:sz="8" w:val="single"/>
      </w:tblBorders>
    </w:tblPr>
    <w:tblStylePr w:type="firstRow">
      <w:pPr>
        <w:spacing w:after="0" w:before="0" w:line="240" w:lineRule="auto"/>
      </w:pPr>
      <w:rPr>
        <w:b w:val="1"/>
        <w:bCs w:val="1"/>
      </w:rPr>
      <w:tblPr/>
      <w:tcPr>
        <w:tcBorders>
          <w:top w:color="8064a2" w:space="0" w:sz="8" w:val="single"/>
          <w:left w:space="0" w:sz="0" w:val="nil"/>
          <w:bottom w:color="8064a2"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val="single"/>
          <w:left w:space="0" w:sz="0" w:val="nil"/>
          <w:bottom w:color="8064a2"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val="clear"/>
      </w:tcPr>
    </w:tblStylePr>
    <w:tblStylePr w:type="band1Horz">
      <w:tblPr/>
      <w:tcPr>
        <w:tcBorders>
          <w:left w:space="0" w:sz="0" w:val="nil"/>
          <w:right w:space="0" w:sz="0" w:val="nil"/>
          <w:insideH w:space="0" w:sz="0" w:val="nil"/>
          <w:insideV w:space="0" w:sz="0" w:val="nil"/>
        </w:tcBorders>
        <w:shd w:color="auto" w:fill="dfd8e8" w:val="clear"/>
      </w:tcPr>
    </w:tblStylePr>
  </w:style>
  <w:style w:type="table" w:styleId="LightShading-Accent5">
    <w:name w:val="Light Shading Accent 5"/>
    <w:basedOn w:val="TableNormal"/>
    <w:uiPriority w:val="60"/>
    <w:pPr>
      <w:spacing w:after="0" w:line="240" w:lineRule="auto"/>
    </w:pPr>
    <w:rPr>
      <w:color w:val="31849b"/>
    </w:rPr>
    <w:tblPr>
      <w:tblStyleRowBandSize w:val="1"/>
      <w:tblStyleColBandSize w:val="1"/>
      <w:tblBorders>
        <w:top w:color="4bacc6" w:space="0" w:sz="8" w:val="single"/>
        <w:bottom w:color="4bacc6" w:space="0" w:sz="8" w:val="single"/>
      </w:tblBorders>
    </w:tblPr>
    <w:tblStylePr w:type="fir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val="single"/>
          <w:left w:space="0" w:sz="0" w:val="nil"/>
          <w:bottom w:color="4bacc6"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val="clear"/>
      </w:tcPr>
    </w:tblStylePr>
    <w:tblStylePr w:type="band1Horz">
      <w:tblPr/>
      <w:tcPr>
        <w:tcBorders>
          <w:left w:space="0" w:sz="0" w:val="nil"/>
          <w:right w:space="0" w:sz="0" w:val="nil"/>
          <w:insideH w:space="0" w:sz="0" w:val="nil"/>
          <w:insideV w:space="0" w:sz="0" w:val="nil"/>
        </w:tcBorders>
        <w:shd w:color="auto" w:fill="d2eaf1" w:val="clear"/>
      </w:tcPr>
    </w:tblStylePr>
  </w:style>
  <w:style w:type="table" w:styleId="LightShading-Accent6">
    <w:name w:val="Light Shading Accent 6"/>
    <w:basedOn w:val="TableNormal"/>
    <w:uiPriority w:val="60"/>
    <w:pPr>
      <w:spacing w:after="0" w:line="240" w:lineRule="auto"/>
    </w:pPr>
    <w:rPr>
      <w:color w:val="e36c0a"/>
    </w:rPr>
    <w:tblPr>
      <w:tblStyleRowBandSize w:val="1"/>
      <w:tblStyleColBandSize w:val="1"/>
      <w:tblBorders>
        <w:top w:color="f79646" w:space="0" w:sz="8" w:val="single"/>
        <w:bottom w:color="f79646" w:space="0" w:sz="8" w:val="single"/>
      </w:tblBorders>
    </w:tblPr>
    <w:tblStylePr w:type="firstRow">
      <w:pPr>
        <w:spacing w:after="0" w:before="0" w:line="240" w:lineRule="auto"/>
      </w:pPr>
      <w:rPr>
        <w:b w:val="1"/>
        <w:bCs w:val="1"/>
      </w:rPr>
      <w:tblPr/>
      <w:tcPr>
        <w:tcBorders>
          <w:top w:color="f79646" w:space="0" w:sz="8" w:val="single"/>
          <w:left w:space="0" w:sz="0" w:val="nil"/>
          <w:bottom w:color="f79646"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val="single"/>
          <w:left w:space="0" w:sz="0" w:val="nil"/>
          <w:bottom w:color="f79646"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val="clear"/>
      </w:tcPr>
    </w:tblStylePr>
    <w:tblStylePr w:type="band1Horz">
      <w:tblPr/>
      <w:tcPr>
        <w:tcBorders>
          <w:left w:space="0" w:sz="0" w:val="nil"/>
          <w:right w:space="0" w:sz="0" w:val="nil"/>
          <w:insideH w:space="0" w:sz="0" w:val="nil"/>
          <w:insideV w:space="0" w:sz="0" w:val="nil"/>
        </w:tcBorders>
        <w:shd w:color="auto" w:fill="fde4d0" w:val="clear"/>
      </w:tcPr>
    </w:tblStylePr>
  </w:style>
  <w:style w:type="table" w:styleId="LightList">
    <w:name w:val="Light List"/>
    <w:basedOn w:val="TableNormal"/>
    <w:uiPriority w:val="61"/>
    <w:pPr>
      <w:spacing w:after="0" w:line="240" w:lineRule="auto"/>
    </w:pPr>
    <w:tblPr>
      <w:tblStyleRowBandSize w:val="1"/>
      <w:tblStyleColBandSize w:val="1"/>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color="c0504d" w:space="0" w:sz="8" w:val="single"/>
        <w:left w:color="c0504d" w:space="0" w:sz="8" w:val="single"/>
        <w:bottom w:color="c0504d" w:space="0" w:sz="8" w:val="single"/>
        <w:right w:color="c0504d" w:space="0" w:sz="8" w:val="single"/>
      </w:tblBorders>
    </w:tblPr>
    <w:tblStylePr w:type="firstRow">
      <w:pPr>
        <w:spacing w:after="0" w:before="0" w:line="240" w:lineRule="auto"/>
      </w:pPr>
      <w:rPr>
        <w:b w:val="1"/>
        <w:bCs w:val="1"/>
        <w:color w:val="ffffff"/>
      </w:rPr>
      <w:tblPr/>
      <w:tcPr>
        <w:shd w:color="auto" w:fill="c0504d" w:val="clear"/>
      </w:tcPr>
    </w:tblStylePr>
    <w:tblStylePr w:type="lastRow">
      <w:pPr>
        <w:spacing w:after="0" w:before="0" w:line="240" w:lineRule="auto"/>
      </w:pPr>
      <w:rPr>
        <w:b w:val="1"/>
        <w:bCs w:val="1"/>
      </w:rPr>
      <w:tblPr/>
      <w:tcPr>
        <w:tcBorders>
          <w:top w:color="c0504d" w:space="0" w:sz="6" w:val="double"/>
          <w:left w:color="c0504d" w:space="0" w:sz="8" w:val="single"/>
          <w:bottom w:color="c0504d" w:space="0" w:sz="8" w:val="single"/>
          <w:right w:color="c0504d" w:space="0" w:sz="8" w:val="single"/>
        </w:tcBorders>
      </w:tcPr>
    </w:tblStylePr>
    <w:tblStylePr w:type="firstCol">
      <w:rPr>
        <w:b w:val="1"/>
        <w:bCs w:val="1"/>
      </w:rPr>
    </w:tblStylePr>
    <w:tblStylePr w:type="lastCol">
      <w:rPr>
        <w:b w:val="1"/>
        <w:bCs w:val="1"/>
      </w:rPr>
    </w:tblStylePr>
    <w:tblStylePr w:type="band1Vert">
      <w:tblPr/>
      <w:tcPr>
        <w:tcBorders>
          <w:top w:color="c0504d" w:space="0" w:sz="8" w:val="single"/>
          <w:left w:color="c0504d" w:space="0" w:sz="8" w:val="single"/>
          <w:bottom w:color="c0504d" w:space="0" w:sz="8" w:val="single"/>
          <w:right w:color="c0504d" w:space="0" w:sz="8" w:val="single"/>
        </w:tcBorders>
      </w:tcPr>
    </w:tblStylePr>
    <w:tblStylePr w:type="band1Horz">
      <w:tblPr/>
      <w:tcPr>
        <w:tcBorders>
          <w:top w:color="c0504d" w:space="0" w:sz="8" w:val="single"/>
          <w:left w:color="c0504d" w:space="0" w:sz="8" w:val="single"/>
          <w:bottom w:color="c0504d" w:space="0" w:sz="8" w:val="single"/>
          <w:right w:color="c0504d" w:space="0" w:sz="8" w:val="single"/>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color="9bbb59" w:space="0" w:sz="8" w:val="single"/>
        <w:left w:color="9bbb59" w:space="0" w:sz="8" w:val="single"/>
        <w:bottom w:color="9bbb59" w:space="0" w:sz="8" w:val="single"/>
        <w:right w:color="9bbb59" w:space="0" w:sz="8" w:val="single"/>
      </w:tblBorders>
    </w:tblPr>
    <w:tblStylePr w:type="firstRow">
      <w:pPr>
        <w:spacing w:after="0" w:before="0" w:line="240" w:lineRule="auto"/>
      </w:pPr>
      <w:rPr>
        <w:b w:val="1"/>
        <w:bCs w:val="1"/>
        <w:color w:val="ffffff"/>
      </w:rPr>
      <w:tblPr/>
      <w:tcPr>
        <w:shd w:color="auto" w:fill="9bbb59" w:val="clear"/>
      </w:tcPr>
    </w:tblStylePr>
    <w:tblStylePr w:type="lastRow">
      <w:pPr>
        <w:spacing w:after="0" w:before="0" w:line="240" w:lineRule="auto"/>
      </w:pPr>
      <w:rPr>
        <w:b w:val="1"/>
        <w:bCs w:val="1"/>
      </w:rPr>
      <w:tblPr/>
      <w:tcPr>
        <w:tcBorders>
          <w:top w:color="9bbb59" w:space="0" w:sz="6" w:val="double"/>
          <w:left w:color="9bbb59" w:space="0" w:sz="8" w:val="single"/>
          <w:bottom w:color="9bbb59" w:space="0" w:sz="8" w:val="single"/>
          <w:right w:color="9bbb59" w:space="0" w:sz="8" w:val="single"/>
        </w:tcBorders>
      </w:tcPr>
    </w:tblStylePr>
    <w:tblStylePr w:type="firstCol">
      <w:rPr>
        <w:b w:val="1"/>
        <w:bCs w:val="1"/>
      </w:rPr>
    </w:tblStylePr>
    <w:tblStylePr w:type="lastCol">
      <w:rPr>
        <w:b w:val="1"/>
        <w:bCs w:val="1"/>
      </w:rPr>
    </w:tblStylePr>
    <w:tblStylePr w:type="band1Vert">
      <w:tblPr/>
      <w:tcPr>
        <w:tcBorders>
          <w:top w:color="9bbb59" w:space="0" w:sz="8" w:val="single"/>
          <w:left w:color="9bbb59" w:space="0" w:sz="8" w:val="single"/>
          <w:bottom w:color="9bbb59" w:space="0" w:sz="8" w:val="single"/>
          <w:right w:color="9bbb59" w:space="0" w:sz="8" w:val="single"/>
        </w:tcBorders>
      </w:tcPr>
    </w:tblStylePr>
    <w:tblStylePr w:type="band1Horz">
      <w:tblPr/>
      <w:tcPr>
        <w:tcBorders>
          <w:top w:color="9bbb59" w:space="0" w:sz="8" w:val="single"/>
          <w:left w:color="9bbb59" w:space="0" w:sz="8" w:val="single"/>
          <w:bottom w:color="9bbb59" w:space="0" w:sz="8" w:val="single"/>
          <w:right w:color="9bbb59" w:space="0" w:sz="8" w:val="single"/>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color="8064a2" w:space="0" w:sz="8" w:val="single"/>
        <w:left w:color="8064a2" w:space="0" w:sz="8" w:val="single"/>
        <w:bottom w:color="8064a2" w:space="0" w:sz="8" w:val="single"/>
        <w:right w:color="8064a2" w:space="0" w:sz="8" w:val="single"/>
      </w:tblBorders>
    </w:tblPr>
    <w:tblStylePr w:type="firstRow">
      <w:pPr>
        <w:spacing w:after="0" w:before="0" w:line="240" w:lineRule="auto"/>
      </w:pPr>
      <w:rPr>
        <w:b w:val="1"/>
        <w:bCs w:val="1"/>
        <w:color w:val="ffffff"/>
      </w:rPr>
      <w:tblPr/>
      <w:tcPr>
        <w:shd w:color="auto" w:fill="8064a2" w:val="clear"/>
      </w:tcPr>
    </w:tblStylePr>
    <w:tblStylePr w:type="lastRow">
      <w:pPr>
        <w:spacing w:after="0" w:before="0" w:line="240" w:lineRule="auto"/>
      </w:pPr>
      <w:rPr>
        <w:b w:val="1"/>
        <w:bCs w:val="1"/>
      </w:rPr>
      <w:tblPr/>
      <w:tcPr>
        <w:tcBorders>
          <w:top w:color="8064a2" w:space="0" w:sz="6" w:val="double"/>
          <w:left w:color="8064a2" w:space="0" w:sz="8" w:val="single"/>
          <w:bottom w:color="8064a2" w:space="0" w:sz="8" w:val="single"/>
          <w:right w:color="8064a2" w:space="0" w:sz="8" w:val="single"/>
        </w:tcBorders>
      </w:tcPr>
    </w:tblStylePr>
    <w:tblStylePr w:type="firstCol">
      <w:rPr>
        <w:b w:val="1"/>
        <w:bCs w:val="1"/>
      </w:rPr>
    </w:tblStylePr>
    <w:tblStylePr w:type="lastCol">
      <w:rPr>
        <w:b w:val="1"/>
        <w:bCs w:val="1"/>
      </w:rPr>
    </w:tblStylePr>
    <w:tblStylePr w:type="band1Vert">
      <w:tblPr/>
      <w:tcPr>
        <w:tcBorders>
          <w:top w:color="8064a2" w:space="0" w:sz="8" w:val="single"/>
          <w:left w:color="8064a2" w:space="0" w:sz="8" w:val="single"/>
          <w:bottom w:color="8064a2" w:space="0" w:sz="8" w:val="single"/>
          <w:right w:color="8064a2" w:space="0" w:sz="8" w:val="single"/>
        </w:tcBorders>
      </w:tcPr>
    </w:tblStylePr>
    <w:tblStylePr w:type="band1Horz">
      <w:tblPr/>
      <w:tcPr>
        <w:tcBorders>
          <w:top w:color="8064a2" w:space="0" w:sz="8" w:val="single"/>
          <w:left w:color="8064a2" w:space="0" w:sz="8" w:val="single"/>
          <w:bottom w:color="8064a2" w:space="0" w:sz="8" w:val="single"/>
          <w:right w:color="8064a2" w:space="0" w:sz="8" w:val="single"/>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color="4bacc6" w:space="0" w:sz="8" w:val="single"/>
        <w:left w:color="4bacc6" w:space="0" w:sz="8" w:val="single"/>
        <w:bottom w:color="4bacc6" w:space="0" w:sz="8" w:val="single"/>
        <w:right w:color="4bacc6" w:space="0" w:sz="8" w:val="single"/>
      </w:tblBorders>
    </w:tblPr>
    <w:tblStylePr w:type="firstRow">
      <w:pPr>
        <w:spacing w:after="0" w:before="0" w:line="240" w:lineRule="auto"/>
      </w:pPr>
      <w:rPr>
        <w:b w:val="1"/>
        <w:bCs w:val="1"/>
        <w:color w:val="ffffff"/>
      </w:rPr>
      <w:tblPr/>
      <w:tcPr>
        <w:shd w:color="auto" w:fill="4bacc6" w:val="clear"/>
      </w:tcPr>
    </w:tblStylePr>
    <w:tblStylePr w:type="lastRow">
      <w:pPr>
        <w:spacing w:after="0" w:before="0" w:line="240" w:lineRule="auto"/>
      </w:pPr>
      <w:rPr>
        <w:b w:val="1"/>
        <w:bCs w:val="1"/>
      </w:rPr>
      <w:tblPr/>
      <w:tcPr>
        <w:tcBorders>
          <w:top w:color="4bacc6" w:space="0" w:sz="6" w:val="double"/>
          <w:left w:color="4bacc6" w:space="0" w:sz="8" w:val="single"/>
          <w:bottom w:color="4bacc6" w:space="0" w:sz="8" w:val="single"/>
          <w:right w:color="4bacc6" w:space="0" w:sz="8" w:val="single"/>
        </w:tcBorders>
      </w:tcPr>
    </w:tblStylePr>
    <w:tblStylePr w:type="firstCol">
      <w:rPr>
        <w:b w:val="1"/>
        <w:bCs w:val="1"/>
      </w:rPr>
    </w:tblStylePr>
    <w:tblStylePr w:type="lastCol">
      <w:rPr>
        <w:b w:val="1"/>
        <w:bCs w:val="1"/>
      </w:rPr>
    </w:tblStylePr>
    <w:tblStylePr w:type="band1Vert">
      <w:tblPr/>
      <w:tcPr>
        <w:tcBorders>
          <w:top w:color="4bacc6" w:space="0" w:sz="8" w:val="single"/>
          <w:left w:color="4bacc6" w:space="0" w:sz="8" w:val="single"/>
          <w:bottom w:color="4bacc6" w:space="0" w:sz="8" w:val="single"/>
          <w:right w:color="4bacc6" w:space="0" w:sz="8" w:val="single"/>
        </w:tcBorders>
      </w:tcPr>
    </w:tblStylePr>
    <w:tblStylePr w:type="band1Horz">
      <w:tblPr/>
      <w:tcPr>
        <w:tcBorders>
          <w:top w:color="4bacc6" w:space="0" w:sz="8" w:val="single"/>
          <w:left w:color="4bacc6" w:space="0" w:sz="8" w:val="single"/>
          <w:bottom w:color="4bacc6" w:space="0" w:sz="8" w:val="single"/>
          <w:right w:color="4bacc6" w:space="0" w:sz="8" w:val="single"/>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color="f79646" w:space="0" w:sz="8" w:val="single"/>
        <w:left w:color="f79646" w:space="0" w:sz="8" w:val="single"/>
        <w:bottom w:color="f79646" w:space="0" w:sz="8" w:val="single"/>
        <w:right w:color="f79646" w:space="0" w:sz="8" w:val="single"/>
      </w:tblBorders>
    </w:tblPr>
    <w:tblStylePr w:type="firstRow">
      <w:pPr>
        <w:spacing w:after="0" w:before="0" w:line="240" w:lineRule="auto"/>
      </w:pPr>
      <w:rPr>
        <w:b w:val="1"/>
        <w:bCs w:val="1"/>
        <w:color w:val="ffffff"/>
      </w:rPr>
      <w:tblPr/>
      <w:tcPr>
        <w:shd w:color="auto" w:fill="f79646" w:val="clear"/>
      </w:tcPr>
    </w:tblStylePr>
    <w:tblStylePr w:type="lastRow">
      <w:pPr>
        <w:spacing w:after="0" w:before="0" w:line="240" w:lineRule="auto"/>
      </w:pPr>
      <w:rPr>
        <w:b w:val="1"/>
        <w:bCs w:val="1"/>
      </w:rPr>
      <w:tblPr/>
      <w:tcPr>
        <w:tcBorders>
          <w:top w:color="f79646" w:space="0" w:sz="6" w:val="double"/>
          <w:left w:color="f79646" w:space="0" w:sz="8" w:val="single"/>
          <w:bottom w:color="f79646" w:space="0" w:sz="8" w:val="single"/>
          <w:right w:color="f79646" w:space="0" w:sz="8" w:val="single"/>
        </w:tcBorders>
      </w:tcPr>
    </w:tblStylePr>
    <w:tblStylePr w:type="firstCol">
      <w:rPr>
        <w:b w:val="1"/>
        <w:bCs w:val="1"/>
      </w:rPr>
    </w:tblStylePr>
    <w:tblStylePr w:type="lastCol">
      <w:rPr>
        <w:b w:val="1"/>
        <w:bCs w:val="1"/>
      </w:rPr>
    </w:tblStylePr>
    <w:tblStylePr w:type="band1Vert">
      <w:tblPr/>
      <w:tcPr>
        <w:tcBorders>
          <w:top w:color="f79646" w:space="0" w:sz="8" w:val="single"/>
          <w:left w:color="f79646" w:space="0" w:sz="8" w:val="single"/>
          <w:bottom w:color="f79646" w:space="0" w:sz="8" w:val="single"/>
          <w:right w:color="f79646" w:space="0" w:sz="8" w:val="single"/>
        </w:tcBorders>
      </w:tcPr>
    </w:tblStylePr>
    <w:tblStylePr w:type="band1Horz">
      <w:tblPr/>
      <w:tcPr>
        <w:tcBorders>
          <w:top w:color="f79646" w:space="0" w:sz="8" w:val="single"/>
          <w:left w:color="f79646" w:space="0" w:sz="8" w:val="single"/>
          <w:bottom w:color="f79646" w:space="0" w:sz="8" w:val="single"/>
          <w:right w:color="f79646" w:space="0" w:sz="8" w:val="single"/>
        </w:tcBorders>
      </w:tcPr>
    </w:tblStylePr>
  </w:style>
  <w:style w:type="table" w:styleId="LightGrid">
    <w:name w:val="Light Grid"/>
    <w:basedOn w:val="TableNormal"/>
    <w:uiPriority w:val="62"/>
    <w:pPr>
      <w:spacing w:after="0" w:line="240" w:lineRule="auto"/>
    </w:pPr>
    <w:tblPr>
      <w:tblStyleRowBandSize w:val="1"/>
      <w:tblStyleColBandSize w:val="1"/>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Pr>
    <w:tblStylePr w:type="firstRow">
      <w:pPr>
        <w:spacing w:after="0" w:before="0" w:line="240" w:lineRule="auto"/>
      </w:pPr>
      <w:rPr>
        <w:rFonts w:ascii="Calibri" w:cs="SimSun" w:eastAsia="MS Gothic" w:hAnsi="Calibri"/>
        <w:b w:val="1"/>
        <w:bCs w:val="1"/>
      </w:rPr>
      <w:tblPr/>
      <w:tcPr>
        <w:tcBorders>
          <w:top w:color="000000" w:space="0" w:sz="8" w:val="single"/>
          <w:left w:color="000000" w:space="0" w:sz="8" w:val="single"/>
          <w:bottom w:color="000000" w:space="0" w:sz="18" w:val="single"/>
          <w:right w:color="000000" w:space="0" w:sz="8" w:val="single"/>
          <w:insideH w:space="0" w:sz="0" w:val="nil"/>
          <w:insideV w:color="000000" w:space="0" w:sz="8" w:val="single"/>
        </w:tcBorders>
      </w:tcPr>
    </w:tblStylePr>
    <w:tblStylePr w:type="lastRow">
      <w:pPr>
        <w:spacing w:after="0" w:before="0" w:line="240" w:lineRule="auto"/>
      </w:pPr>
      <w:rPr>
        <w:rFonts w:ascii="Calibri" w:cs="SimSun" w:eastAsia="MS Gothic" w:hAnsi="Calibri"/>
        <w:b w:val="1"/>
        <w:bCs w:val="1"/>
      </w:rPr>
      <w:tblPr/>
      <w:tcPr>
        <w:tcBorders>
          <w:top w:color="000000" w:space="0" w:sz="6" w:val="double"/>
          <w:left w:color="000000" w:space="0" w:sz="8" w:val="single"/>
          <w:bottom w:color="000000" w:space="0" w:sz="8" w:val="single"/>
          <w:right w:color="000000" w:space="0" w:sz="8" w:val="single"/>
          <w:insideH w:space="0" w:sz="0" w:val="nil"/>
          <w:insideV w:color="000000"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000000" w:space="0" w:sz="8" w:val="single"/>
          <w:left w:color="000000" w:space="0" w:sz="8" w:val="single"/>
          <w:bottom w:color="000000" w:space="0" w:sz="8" w:val="single"/>
          <w:right w:color="000000" w:space="0" w:sz="8" w:val="single"/>
        </w:tcBorders>
      </w:tcPr>
    </w:tblStylePr>
    <w:tblStylePr w:type="band1Vert">
      <w:tblPr/>
      <w:tcPr>
        <w:tcBorders>
          <w:top w:color="000000" w:space="0" w:sz="8" w:val="single"/>
          <w:left w:color="000000" w:space="0" w:sz="8" w:val="single"/>
          <w:bottom w:color="000000" w:space="0" w:sz="8" w:val="single"/>
          <w:right w:color="000000" w:space="0" w:sz="8" w:val="single"/>
        </w:tcBorders>
        <w:shd w:color="auto" w:fill="c0c0c0" w:val="clear"/>
      </w:tcPr>
    </w:tblStylePr>
    <w:tblStylePr w:type="band1Horz">
      <w:tblPr/>
      <w:tcPr>
        <w:tcBorders>
          <w:top w:color="000000" w:space="0" w:sz="8" w:val="single"/>
          <w:left w:color="000000" w:space="0" w:sz="8" w:val="single"/>
          <w:bottom w:color="000000" w:space="0" w:sz="8" w:val="single"/>
          <w:right w:color="000000" w:space="0" w:sz="8" w:val="single"/>
          <w:insideV w:color="000000" w:space="0" w:sz="8" w:val="single"/>
        </w:tcBorders>
        <w:shd w:color="auto" w:fill="c0c0c0" w:val="clear"/>
      </w:tcPr>
    </w:tblStylePr>
    <w:tblStylePr w:type="band2Horz">
      <w:tblPr/>
      <w:tcPr>
        <w:tcBorders>
          <w:top w:color="000000" w:space="0" w:sz="8" w:val="single"/>
          <w:left w:color="000000" w:space="0" w:sz="8" w:val="single"/>
          <w:bottom w:color="000000" w:space="0" w:sz="8" w:val="single"/>
          <w:right w:color="000000" w:space="0" w:sz="8" w:val="single"/>
          <w:insideV w:color="000000" w:space="0" w:sz="8" w:val="single"/>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Pr>
    <w:tblStylePr w:type="firstRow">
      <w:pPr>
        <w:spacing w:after="0" w:before="0" w:line="240" w:lineRule="auto"/>
      </w:pPr>
      <w:rPr>
        <w:rFonts w:ascii="Calibri" w:cs="SimSun" w:eastAsia="MS Gothic" w:hAnsi="Calibri"/>
        <w:b w:val="1"/>
        <w:bCs w:val="1"/>
      </w:rPr>
      <w:tblPr/>
      <w:tcPr>
        <w:tcBorders>
          <w:top w:color="4f81bd" w:space="0" w:sz="8" w:val="single"/>
          <w:left w:color="4f81bd" w:space="0" w:sz="8" w:val="single"/>
          <w:bottom w:color="4f81bd" w:space="0" w:sz="18" w:val="single"/>
          <w:right w:color="4f81bd" w:space="0" w:sz="8" w:val="single"/>
          <w:insideH w:space="0" w:sz="0" w:val="nil"/>
          <w:insideV w:color="4f81bd" w:space="0" w:sz="8" w:val="single"/>
        </w:tcBorders>
      </w:tcPr>
    </w:tblStylePr>
    <w:tblStylePr w:type="lastRow">
      <w:pPr>
        <w:spacing w:after="0" w:before="0" w:line="240" w:lineRule="auto"/>
      </w:pPr>
      <w:rPr>
        <w:rFonts w:ascii="Calibri" w:cs="SimSun" w:eastAsia="MS Gothic" w:hAnsi="Calibri"/>
        <w:b w:val="1"/>
        <w:bCs w:val="1"/>
      </w:rPr>
      <w:tblPr/>
      <w:tcPr>
        <w:tcBorders>
          <w:top w:color="4f81bd" w:space="0" w:sz="6" w:val="double"/>
          <w:left w:color="4f81bd" w:space="0" w:sz="8" w:val="single"/>
          <w:bottom w:color="4f81bd" w:space="0" w:sz="8" w:val="single"/>
          <w:right w:color="4f81bd" w:space="0" w:sz="8" w:val="single"/>
          <w:insideH w:space="0" w:sz="0" w:val="nil"/>
          <w:insideV w:color="4f81bd"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4f81bd" w:space="0" w:sz="8" w:val="single"/>
          <w:left w:color="4f81bd" w:space="0" w:sz="8" w:val="single"/>
          <w:bottom w:color="4f81bd" w:space="0" w:sz="8" w:val="single"/>
          <w:right w:color="4f81bd" w:space="0" w:sz="8" w:val="single"/>
        </w:tcBorders>
      </w:tcPr>
    </w:tblStylePr>
    <w:tblStylePr w:type="band1Vert">
      <w:tblPr/>
      <w:tcPr>
        <w:tcBorders>
          <w:top w:color="4f81bd" w:space="0" w:sz="8" w:val="single"/>
          <w:left w:color="4f81bd" w:space="0" w:sz="8" w:val="single"/>
          <w:bottom w:color="4f81bd" w:space="0" w:sz="8" w:val="single"/>
          <w:right w:color="4f81bd" w:space="0" w:sz="8" w:val="single"/>
        </w:tcBorders>
        <w:shd w:color="auto" w:fill="d3dfee" w:val="clear"/>
      </w:tcPr>
    </w:tblStylePr>
    <w:tblStylePr w:type="band1Horz">
      <w:tblPr/>
      <w:tcPr>
        <w:tcBorders>
          <w:top w:color="4f81bd" w:space="0" w:sz="8" w:val="single"/>
          <w:left w:color="4f81bd" w:space="0" w:sz="8" w:val="single"/>
          <w:bottom w:color="4f81bd" w:space="0" w:sz="8" w:val="single"/>
          <w:right w:color="4f81bd" w:space="0" w:sz="8" w:val="single"/>
          <w:insideV w:color="4f81bd" w:space="0" w:sz="8" w:val="single"/>
        </w:tcBorders>
        <w:shd w:color="auto" w:fill="d3dfee" w:val="clear"/>
      </w:tcPr>
    </w:tblStylePr>
    <w:tblStylePr w:type="band2Horz">
      <w:tblPr/>
      <w:tcPr>
        <w:tcBorders>
          <w:top w:color="4f81bd" w:space="0" w:sz="8" w:val="single"/>
          <w:left w:color="4f81bd" w:space="0" w:sz="8" w:val="single"/>
          <w:bottom w:color="4f81bd" w:space="0" w:sz="8" w:val="single"/>
          <w:right w:color="4f81bd" w:space="0" w:sz="8" w:val="single"/>
          <w:insideV w:color="4f81bd" w:space="0" w:sz="8" w:val="single"/>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Pr>
    <w:tblStylePr w:type="firstRow">
      <w:pPr>
        <w:spacing w:after="0" w:before="0" w:line="240" w:lineRule="auto"/>
      </w:pPr>
      <w:rPr>
        <w:rFonts w:ascii="Calibri" w:cs="SimSun" w:eastAsia="MS Gothic" w:hAnsi="Calibri"/>
        <w:b w:val="1"/>
        <w:bCs w:val="1"/>
      </w:rPr>
      <w:tblPr/>
      <w:tcPr>
        <w:tcBorders>
          <w:top w:color="c0504d" w:space="0" w:sz="8" w:val="single"/>
          <w:left w:color="c0504d" w:space="0" w:sz="8" w:val="single"/>
          <w:bottom w:color="c0504d" w:space="0" w:sz="18" w:val="single"/>
          <w:right w:color="c0504d" w:space="0" w:sz="8" w:val="single"/>
          <w:insideH w:space="0" w:sz="0" w:val="nil"/>
          <w:insideV w:color="c0504d" w:space="0" w:sz="8" w:val="single"/>
        </w:tcBorders>
      </w:tcPr>
    </w:tblStylePr>
    <w:tblStylePr w:type="lastRow">
      <w:pPr>
        <w:spacing w:after="0" w:before="0" w:line="240" w:lineRule="auto"/>
      </w:pPr>
      <w:rPr>
        <w:rFonts w:ascii="Calibri" w:cs="SimSun" w:eastAsia="MS Gothic" w:hAnsi="Calibri"/>
        <w:b w:val="1"/>
        <w:bCs w:val="1"/>
      </w:rPr>
      <w:tblPr/>
      <w:tcPr>
        <w:tcBorders>
          <w:top w:color="c0504d" w:space="0" w:sz="6" w:val="double"/>
          <w:left w:color="c0504d" w:space="0" w:sz="8" w:val="single"/>
          <w:bottom w:color="c0504d" w:space="0" w:sz="8" w:val="single"/>
          <w:right w:color="c0504d" w:space="0" w:sz="8" w:val="single"/>
          <w:insideH w:space="0" w:sz="0" w:val="nil"/>
          <w:insideV w:color="c0504d"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c0504d" w:space="0" w:sz="8" w:val="single"/>
          <w:left w:color="c0504d" w:space="0" w:sz="8" w:val="single"/>
          <w:bottom w:color="c0504d" w:space="0" w:sz="8" w:val="single"/>
          <w:right w:color="c0504d" w:space="0" w:sz="8" w:val="single"/>
        </w:tcBorders>
      </w:tcPr>
    </w:tblStylePr>
    <w:tblStylePr w:type="band1Vert">
      <w:tblPr/>
      <w:tcPr>
        <w:tcBorders>
          <w:top w:color="c0504d" w:space="0" w:sz="8" w:val="single"/>
          <w:left w:color="c0504d" w:space="0" w:sz="8" w:val="single"/>
          <w:bottom w:color="c0504d" w:space="0" w:sz="8" w:val="single"/>
          <w:right w:color="c0504d" w:space="0" w:sz="8" w:val="single"/>
        </w:tcBorders>
        <w:shd w:color="auto" w:fill="efd3d2" w:val="clear"/>
      </w:tcPr>
    </w:tblStylePr>
    <w:tblStylePr w:type="band1Horz">
      <w:tblPr/>
      <w:tcPr>
        <w:tcBorders>
          <w:top w:color="c0504d" w:space="0" w:sz="8" w:val="single"/>
          <w:left w:color="c0504d" w:space="0" w:sz="8" w:val="single"/>
          <w:bottom w:color="c0504d" w:space="0" w:sz="8" w:val="single"/>
          <w:right w:color="c0504d" w:space="0" w:sz="8" w:val="single"/>
          <w:insideV w:color="c0504d" w:space="0" w:sz="8" w:val="single"/>
        </w:tcBorders>
        <w:shd w:color="auto" w:fill="efd3d2" w:val="clear"/>
      </w:tcPr>
    </w:tblStylePr>
    <w:tblStylePr w:type="band2Horz">
      <w:tblPr/>
      <w:tcPr>
        <w:tcBorders>
          <w:top w:color="c0504d" w:space="0" w:sz="8" w:val="single"/>
          <w:left w:color="c0504d" w:space="0" w:sz="8" w:val="single"/>
          <w:bottom w:color="c0504d" w:space="0" w:sz="8" w:val="single"/>
          <w:right w:color="c0504d" w:space="0" w:sz="8" w:val="single"/>
          <w:insideV w:color="c0504d" w:space="0" w:sz="8" w:val="single"/>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Pr>
    <w:tblStylePr w:type="firstRow">
      <w:pPr>
        <w:spacing w:after="0" w:before="0" w:line="240" w:lineRule="auto"/>
      </w:pPr>
      <w:rPr>
        <w:rFonts w:ascii="Calibri" w:cs="SimSun" w:eastAsia="MS Gothic" w:hAnsi="Calibri"/>
        <w:b w:val="1"/>
        <w:bCs w:val="1"/>
      </w:rPr>
      <w:tblPr/>
      <w:tcPr>
        <w:tcBorders>
          <w:top w:color="9bbb59" w:space="0" w:sz="8" w:val="single"/>
          <w:left w:color="9bbb59" w:space="0" w:sz="8" w:val="single"/>
          <w:bottom w:color="9bbb59" w:space="0" w:sz="18" w:val="single"/>
          <w:right w:color="9bbb59" w:space="0" w:sz="8" w:val="single"/>
          <w:insideH w:space="0" w:sz="0" w:val="nil"/>
          <w:insideV w:color="9bbb59" w:space="0" w:sz="8" w:val="single"/>
        </w:tcBorders>
      </w:tcPr>
    </w:tblStylePr>
    <w:tblStylePr w:type="lastRow">
      <w:pPr>
        <w:spacing w:after="0" w:before="0" w:line="240" w:lineRule="auto"/>
      </w:pPr>
      <w:rPr>
        <w:rFonts w:ascii="Calibri" w:cs="SimSun" w:eastAsia="MS Gothic" w:hAnsi="Calibri"/>
        <w:b w:val="1"/>
        <w:bCs w:val="1"/>
      </w:rPr>
      <w:tblPr/>
      <w:tcPr>
        <w:tcBorders>
          <w:top w:color="9bbb59" w:space="0" w:sz="6" w:val="double"/>
          <w:left w:color="9bbb59" w:space="0" w:sz="8" w:val="single"/>
          <w:bottom w:color="9bbb59" w:space="0" w:sz="8" w:val="single"/>
          <w:right w:color="9bbb59" w:space="0" w:sz="8" w:val="single"/>
          <w:insideH w:space="0" w:sz="0" w:val="nil"/>
          <w:insideV w:color="9bbb59"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9bbb59" w:space="0" w:sz="8" w:val="single"/>
          <w:left w:color="9bbb59" w:space="0" w:sz="8" w:val="single"/>
          <w:bottom w:color="9bbb59" w:space="0" w:sz="8" w:val="single"/>
          <w:right w:color="9bbb59" w:space="0" w:sz="8" w:val="single"/>
        </w:tcBorders>
      </w:tcPr>
    </w:tblStylePr>
    <w:tblStylePr w:type="band1Vert">
      <w:tblPr/>
      <w:tcPr>
        <w:tcBorders>
          <w:top w:color="9bbb59" w:space="0" w:sz="8" w:val="single"/>
          <w:left w:color="9bbb59" w:space="0" w:sz="8" w:val="single"/>
          <w:bottom w:color="9bbb59" w:space="0" w:sz="8" w:val="single"/>
          <w:right w:color="9bbb59" w:space="0" w:sz="8" w:val="single"/>
        </w:tcBorders>
        <w:shd w:color="auto" w:fill="e6eed5" w:val="clear"/>
      </w:tcPr>
    </w:tblStylePr>
    <w:tblStylePr w:type="band1Horz">
      <w:tblPr/>
      <w:tcPr>
        <w:tcBorders>
          <w:top w:color="9bbb59" w:space="0" w:sz="8" w:val="single"/>
          <w:left w:color="9bbb59" w:space="0" w:sz="8" w:val="single"/>
          <w:bottom w:color="9bbb59" w:space="0" w:sz="8" w:val="single"/>
          <w:right w:color="9bbb59" w:space="0" w:sz="8" w:val="single"/>
          <w:insideV w:color="9bbb59" w:space="0" w:sz="8" w:val="single"/>
        </w:tcBorders>
        <w:shd w:color="auto" w:fill="e6eed5" w:val="clear"/>
      </w:tcPr>
    </w:tblStylePr>
    <w:tblStylePr w:type="band2Horz">
      <w:tblPr/>
      <w:tcPr>
        <w:tcBorders>
          <w:top w:color="9bbb59" w:space="0" w:sz="8" w:val="single"/>
          <w:left w:color="9bbb59" w:space="0" w:sz="8" w:val="single"/>
          <w:bottom w:color="9bbb59" w:space="0" w:sz="8" w:val="single"/>
          <w:right w:color="9bbb59" w:space="0" w:sz="8" w:val="single"/>
          <w:insideV w:color="9bbb59" w:space="0" w:sz="8" w:val="single"/>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tblPr>
    <w:tblStylePr w:type="firstRow">
      <w:pPr>
        <w:spacing w:after="0" w:before="0" w:line="240" w:lineRule="auto"/>
      </w:pPr>
      <w:rPr>
        <w:rFonts w:ascii="Calibri" w:cs="SimSun" w:eastAsia="MS Gothic" w:hAnsi="Calibri"/>
        <w:b w:val="1"/>
        <w:bCs w:val="1"/>
      </w:rPr>
      <w:tblPr/>
      <w:tcPr>
        <w:tcBorders>
          <w:top w:color="8064a2" w:space="0" w:sz="8" w:val="single"/>
          <w:left w:color="8064a2" w:space="0" w:sz="8" w:val="single"/>
          <w:bottom w:color="8064a2" w:space="0" w:sz="18" w:val="single"/>
          <w:right w:color="8064a2" w:space="0" w:sz="8" w:val="single"/>
          <w:insideH w:space="0" w:sz="0" w:val="nil"/>
          <w:insideV w:color="8064a2" w:space="0" w:sz="8" w:val="single"/>
        </w:tcBorders>
      </w:tcPr>
    </w:tblStylePr>
    <w:tblStylePr w:type="lastRow">
      <w:pPr>
        <w:spacing w:after="0" w:before="0" w:line="240" w:lineRule="auto"/>
      </w:pPr>
      <w:rPr>
        <w:rFonts w:ascii="Calibri" w:cs="SimSun" w:eastAsia="MS Gothic" w:hAnsi="Calibri"/>
        <w:b w:val="1"/>
        <w:bCs w:val="1"/>
      </w:rPr>
      <w:tblPr/>
      <w:tcPr>
        <w:tcBorders>
          <w:top w:color="8064a2" w:space="0" w:sz="6" w:val="double"/>
          <w:left w:color="8064a2" w:space="0" w:sz="8" w:val="single"/>
          <w:bottom w:color="8064a2" w:space="0" w:sz="8" w:val="single"/>
          <w:right w:color="8064a2" w:space="0" w:sz="8" w:val="single"/>
          <w:insideH w:space="0" w:sz="0" w:val="nil"/>
          <w:insideV w:color="8064a2"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8064a2" w:space="0" w:sz="8" w:val="single"/>
          <w:left w:color="8064a2" w:space="0" w:sz="8" w:val="single"/>
          <w:bottom w:color="8064a2" w:space="0" w:sz="8" w:val="single"/>
          <w:right w:color="8064a2" w:space="0" w:sz="8" w:val="single"/>
        </w:tcBorders>
      </w:tcPr>
    </w:tblStylePr>
    <w:tblStylePr w:type="band1Vert">
      <w:tblPr/>
      <w:tcPr>
        <w:tcBorders>
          <w:top w:color="8064a2" w:space="0" w:sz="8" w:val="single"/>
          <w:left w:color="8064a2" w:space="0" w:sz="8" w:val="single"/>
          <w:bottom w:color="8064a2" w:space="0" w:sz="8" w:val="single"/>
          <w:right w:color="8064a2" w:space="0" w:sz="8" w:val="single"/>
        </w:tcBorders>
        <w:shd w:color="auto" w:fill="dfd8e8" w:val="clear"/>
      </w:tcPr>
    </w:tblStylePr>
    <w:tblStylePr w:type="band1Horz">
      <w:tblPr/>
      <w:tcPr>
        <w:tcBorders>
          <w:top w:color="8064a2" w:space="0" w:sz="8" w:val="single"/>
          <w:left w:color="8064a2" w:space="0" w:sz="8" w:val="single"/>
          <w:bottom w:color="8064a2" w:space="0" w:sz="8" w:val="single"/>
          <w:right w:color="8064a2" w:space="0" w:sz="8" w:val="single"/>
          <w:insideV w:color="8064a2" w:space="0" w:sz="8" w:val="single"/>
        </w:tcBorders>
        <w:shd w:color="auto" w:fill="dfd8e8" w:val="clear"/>
      </w:tcPr>
    </w:tblStylePr>
    <w:tblStylePr w:type="band2Horz">
      <w:tblPr/>
      <w:tcPr>
        <w:tcBorders>
          <w:top w:color="8064a2" w:space="0" w:sz="8" w:val="single"/>
          <w:left w:color="8064a2" w:space="0" w:sz="8" w:val="single"/>
          <w:bottom w:color="8064a2" w:space="0" w:sz="8" w:val="single"/>
          <w:right w:color="8064a2" w:space="0" w:sz="8" w:val="single"/>
          <w:insideV w:color="8064a2" w:space="0" w:sz="8" w:val="single"/>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Pr>
    <w:tblStylePr w:type="firstRow">
      <w:pPr>
        <w:spacing w:after="0" w:before="0" w:line="240" w:lineRule="auto"/>
      </w:pPr>
      <w:rPr>
        <w:rFonts w:ascii="Calibri" w:cs="SimSun" w:eastAsia="MS Gothic" w:hAnsi="Calibri"/>
        <w:b w:val="1"/>
        <w:bCs w:val="1"/>
      </w:rPr>
      <w:tblPr/>
      <w:tcPr>
        <w:tcBorders>
          <w:top w:color="4bacc6" w:space="0" w:sz="8" w:val="single"/>
          <w:left w:color="4bacc6" w:space="0" w:sz="8" w:val="single"/>
          <w:bottom w:color="4bacc6" w:space="0" w:sz="18" w:val="single"/>
          <w:right w:color="4bacc6" w:space="0" w:sz="8" w:val="single"/>
          <w:insideH w:space="0" w:sz="0" w:val="nil"/>
          <w:insideV w:color="4bacc6" w:space="0" w:sz="8" w:val="single"/>
        </w:tcBorders>
      </w:tcPr>
    </w:tblStylePr>
    <w:tblStylePr w:type="lastRow">
      <w:pPr>
        <w:spacing w:after="0" w:before="0" w:line="240" w:lineRule="auto"/>
      </w:pPr>
      <w:rPr>
        <w:rFonts w:ascii="Calibri" w:cs="SimSun" w:eastAsia="MS Gothic" w:hAnsi="Calibri"/>
        <w:b w:val="1"/>
        <w:bCs w:val="1"/>
      </w:rPr>
      <w:tblPr/>
      <w:tcPr>
        <w:tcBorders>
          <w:top w:color="4bacc6" w:space="0" w:sz="6" w:val="double"/>
          <w:left w:color="4bacc6" w:space="0" w:sz="8" w:val="single"/>
          <w:bottom w:color="4bacc6" w:space="0" w:sz="8" w:val="single"/>
          <w:right w:color="4bacc6" w:space="0" w:sz="8" w:val="single"/>
          <w:insideH w:space="0" w:sz="0" w:val="nil"/>
          <w:insideV w:color="4bacc6"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4bacc6" w:space="0" w:sz="8" w:val="single"/>
          <w:left w:color="4bacc6" w:space="0" w:sz="8" w:val="single"/>
          <w:bottom w:color="4bacc6" w:space="0" w:sz="8" w:val="single"/>
          <w:right w:color="4bacc6" w:space="0" w:sz="8" w:val="single"/>
        </w:tcBorders>
      </w:tcPr>
    </w:tblStylePr>
    <w:tblStylePr w:type="band1Vert">
      <w:tblPr/>
      <w:tcPr>
        <w:tcBorders>
          <w:top w:color="4bacc6" w:space="0" w:sz="8" w:val="single"/>
          <w:left w:color="4bacc6" w:space="0" w:sz="8" w:val="single"/>
          <w:bottom w:color="4bacc6" w:space="0" w:sz="8" w:val="single"/>
          <w:right w:color="4bacc6" w:space="0" w:sz="8" w:val="single"/>
        </w:tcBorders>
        <w:shd w:color="auto" w:fill="d2eaf1" w:val="clear"/>
      </w:tcPr>
    </w:tblStylePr>
    <w:tblStylePr w:type="band1Horz">
      <w:tblPr/>
      <w:tcPr>
        <w:tcBorders>
          <w:top w:color="4bacc6" w:space="0" w:sz="8" w:val="single"/>
          <w:left w:color="4bacc6" w:space="0" w:sz="8" w:val="single"/>
          <w:bottom w:color="4bacc6" w:space="0" w:sz="8" w:val="single"/>
          <w:right w:color="4bacc6" w:space="0" w:sz="8" w:val="single"/>
          <w:insideV w:color="4bacc6" w:space="0" w:sz="8" w:val="single"/>
        </w:tcBorders>
        <w:shd w:color="auto" w:fill="d2eaf1" w:val="clear"/>
      </w:tcPr>
    </w:tblStylePr>
    <w:tblStylePr w:type="band2Horz">
      <w:tblPr/>
      <w:tcPr>
        <w:tcBorders>
          <w:top w:color="4bacc6" w:space="0" w:sz="8" w:val="single"/>
          <w:left w:color="4bacc6" w:space="0" w:sz="8" w:val="single"/>
          <w:bottom w:color="4bacc6" w:space="0" w:sz="8" w:val="single"/>
          <w:right w:color="4bacc6" w:space="0" w:sz="8" w:val="single"/>
          <w:insideV w:color="4bacc6" w:space="0" w:sz="8" w:val="single"/>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Pr>
    <w:tblStylePr w:type="firstRow">
      <w:pPr>
        <w:spacing w:after="0" w:before="0" w:line="240" w:lineRule="auto"/>
      </w:pPr>
      <w:rPr>
        <w:rFonts w:ascii="Calibri" w:cs="SimSun" w:eastAsia="MS Gothic" w:hAnsi="Calibri"/>
        <w:b w:val="1"/>
        <w:bCs w:val="1"/>
      </w:rPr>
      <w:tblPr/>
      <w:tcPr>
        <w:tcBorders>
          <w:top w:color="f79646" w:space="0" w:sz="8" w:val="single"/>
          <w:left w:color="f79646" w:space="0" w:sz="8" w:val="single"/>
          <w:bottom w:color="f79646" w:space="0" w:sz="18" w:val="single"/>
          <w:right w:color="f79646" w:space="0" w:sz="8" w:val="single"/>
          <w:insideH w:space="0" w:sz="0" w:val="nil"/>
          <w:insideV w:color="f79646" w:space="0" w:sz="8" w:val="single"/>
        </w:tcBorders>
      </w:tcPr>
    </w:tblStylePr>
    <w:tblStylePr w:type="lastRow">
      <w:pPr>
        <w:spacing w:after="0" w:before="0" w:line="240" w:lineRule="auto"/>
      </w:pPr>
      <w:rPr>
        <w:rFonts w:ascii="Calibri" w:cs="SimSun" w:eastAsia="MS Gothic" w:hAnsi="Calibri"/>
        <w:b w:val="1"/>
        <w:bCs w:val="1"/>
      </w:rPr>
      <w:tblPr/>
      <w:tcPr>
        <w:tcBorders>
          <w:top w:color="f79646" w:space="0" w:sz="6" w:val="double"/>
          <w:left w:color="f79646" w:space="0" w:sz="8" w:val="single"/>
          <w:bottom w:color="f79646" w:space="0" w:sz="8" w:val="single"/>
          <w:right w:color="f79646" w:space="0" w:sz="8" w:val="single"/>
          <w:insideH w:space="0" w:sz="0" w:val="nil"/>
          <w:insideV w:color="f79646" w:space="0" w:sz="8" w:val="single"/>
        </w:tcBorders>
      </w:tcPr>
    </w:tblStylePr>
    <w:tblStylePr w:type="firstCol">
      <w:rPr>
        <w:rFonts w:ascii="Calibri" w:cs="SimSun" w:eastAsia="MS Gothic" w:hAnsi="Calibri"/>
        <w:b w:val="1"/>
        <w:bCs w:val="1"/>
      </w:rPr>
    </w:tblStylePr>
    <w:tblStylePr w:type="lastCol">
      <w:rPr>
        <w:rFonts w:ascii="Calibri" w:cs="SimSun" w:eastAsia="MS Gothic" w:hAnsi="Calibri"/>
        <w:b w:val="1"/>
        <w:bCs w:val="1"/>
      </w:rPr>
      <w:tblPr/>
      <w:tcPr>
        <w:tcBorders>
          <w:top w:color="f79646" w:space="0" w:sz="8" w:val="single"/>
          <w:left w:color="f79646" w:space="0" w:sz="8" w:val="single"/>
          <w:bottom w:color="f79646" w:space="0" w:sz="8" w:val="single"/>
          <w:right w:color="f79646" w:space="0" w:sz="8" w:val="single"/>
        </w:tcBorders>
      </w:tcPr>
    </w:tblStylePr>
    <w:tblStylePr w:type="band1Vert">
      <w:tblPr/>
      <w:tcPr>
        <w:tcBorders>
          <w:top w:color="f79646" w:space="0" w:sz="8" w:val="single"/>
          <w:left w:color="f79646" w:space="0" w:sz="8" w:val="single"/>
          <w:bottom w:color="f79646" w:space="0" w:sz="8" w:val="single"/>
          <w:right w:color="f79646" w:space="0" w:sz="8" w:val="single"/>
        </w:tcBorders>
        <w:shd w:color="auto" w:fill="fde4d0" w:val="clear"/>
      </w:tcPr>
    </w:tblStylePr>
    <w:tblStylePr w:type="band1Horz">
      <w:tblPr/>
      <w:tcPr>
        <w:tcBorders>
          <w:top w:color="f79646" w:space="0" w:sz="8" w:val="single"/>
          <w:left w:color="f79646" w:space="0" w:sz="8" w:val="single"/>
          <w:bottom w:color="f79646" w:space="0" w:sz="8" w:val="single"/>
          <w:right w:color="f79646" w:space="0" w:sz="8" w:val="single"/>
          <w:insideV w:color="f79646" w:space="0" w:sz="8" w:val="single"/>
        </w:tcBorders>
        <w:shd w:color="auto" w:fill="fde4d0" w:val="clear"/>
      </w:tcPr>
    </w:tblStylePr>
    <w:tblStylePr w:type="band2Horz">
      <w:tblPr/>
      <w:tcPr>
        <w:tcBorders>
          <w:top w:color="f79646" w:space="0" w:sz="8" w:val="single"/>
          <w:left w:color="f79646" w:space="0" w:sz="8" w:val="single"/>
          <w:bottom w:color="f79646" w:space="0" w:sz="8" w:val="single"/>
          <w:right w:color="f79646" w:space="0" w:sz="8" w:val="single"/>
          <w:insideV w:color="f79646" w:space="0" w:sz="8" w:val="single"/>
        </w:tcBorders>
      </w:tcPr>
    </w:tblStylePr>
  </w:style>
  <w:style w:type="table" w:styleId="MediumShading1">
    <w:name w:val="Medium Shading 1"/>
    <w:basedOn w:val="TableNormal"/>
    <w:uiPriority w:val="63"/>
    <w:pPr>
      <w:spacing w:after="0" w:line="240" w:lineRule="auto"/>
    </w:pPr>
    <w:tblPr>
      <w:tblStyleRowBandSize w:val="1"/>
      <w:tblStyleColBandSize w:val="1"/>
      <w:tblBorders>
        <w:top w:color="404040" w:space="0" w:sz="8" w:val="single"/>
        <w:left w:color="404040" w:space="0" w:sz="8" w:val="single"/>
        <w:bottom w:color="404040" w:space="0" w:sz="8" w:val="single"/>
        <w:right w:color="404040" w:space="0" w:sz="8" w:val="single"/>
        <w:insideH w:color="404040" w:space="0" w:sz="8" w:val="single"/>
      </w:tblBorders>
    </w:tblPr>
    <w:tblStylePr w:type="firstRow">
      <w:pPr>
        <w:spacing w:after="0" w:before="0" w:line="240" w:lineRule="auto"/>
      </w:pPr>
      <w:rPr>
        <w:b w:val="1"/>
        <w:bCs w:val="1"/>
        <w:color w:val="ffffff"/>
      </w:rPr>
      <w:tblPr/>
      <w:tcPr>
        <w:tcBorders>
          <w:top w:color="404040" w:space="0" w:sz="8" w:val="single"/>
          <w:left w:color="404040" w:space="0" w:sz="8" w:val="single"/>
          <w:bottom w:color="404040" w:space="0" w:sz="8" w:val="single"/>
          <w:right w:color="404040" w:space="0" w:sz="8" w:val="single"/>
          <w:insideH w:space="0" w:sz="0" w:val="nil"/>
          <w:insideV w:space="0" w:sz="0" w:val="nil"/>
        </w:tcBorders>
        <w:shd w:color="auto" w:fill="000000" w:val="clear"/>
      </w:tcPr>
    </w:tblStylePr>
    <w:tblStylePr w:type="lastRow">
      <w:pPr>
        <w:spacing w:after="0" w:before="0" w:line="240" w:lineRule="auto"/>
      </w:pPr>
      <w:rPr>
        <w:b w:val="1"/>
        <w:bCs w:val="1"/>
      </w:rPr>
      <w:tblPr/>
      <w:tcPr>
        <w:tcBorders>
          <w:top w:color="404040" w:space="0" w:sz="6" w:val="double"/>
          <w:left w:color="404040" w:space="0" w:sz="8" w:val="single"/>
          <w:bottom w:color="404040" w:space="0" w:sz="8" w:val="single"/>
          <w:right w:color="404040"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val="clear"/>
      </w:tcPr>
    </w:tblStylePr>
    <w:tblStylePr w:type="band1Horz">
      <w:tblPr/>
      <w:tcPr>
        <w:tcBorders>
          <w:insideH w:space="0" w:sz="0" w:val="nil"/>
          <w:insideV w:space="0" w:sz="0" w:val="nil"/>
        </w:tcBorders>
        <w:shd w:color="auto" w:fill="c0c0c0"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color="7ba0cd" w:space="0" w:sz="8" w:val="single"/>
        <w:left w:color="7ba0cd" w:space="0" w:sz="8" w:val="single"/>
        <w:bottom w:color="7ba0cd" w:space="0" w:sz="8" w:val="single"/>
        <w:right w:color="7ba0cd" w:space="0" w:sz="8" w:val="single"/>
        <w:insideH w:color="7ba0cd" w:space="0" w:sz="8" w:val="single"/>
      </w:tblBorders>
    </w:tblPr>
    <w:tblStylePr w:type="firstRow">
      <w:pPr>
        <w:spacing w:after="0" w:before="0" w:line="240" w:lineRule="auto"/>
      </w:pPr>
      <w:rPr>
        <w:b w:val="1"/>
        <w:bCs w:val="1"/>
        <w:color w:val="ffffff"/>
      </w:rPr>
      <w:tblPr/>
      <w:tcPr>
        <w:tcBorders>
          <w:top w:color="7ba0cd" w:space="0" w:sz="8" w:val="single"/>
          <w:left w:color="7ba0cd" w:space="0" w:sz="8" w:val="single"/>
          <w:bottom w:color="7ba0cd" w:space="0" w:sz="8" w:val="single"/>
          <w:right w:color="7ba0cd" w:space="0" w:sz="8" w:val="single"/>
          <w:insideH w:space="0" w:sz="0" w:val="nil"/>
          <w:insideV w:space="0" w:sz="0" w:val="nil"/>
        </w:tcBorders>
        <w:shd w:color="auto" w:fill="4f81bd" w:val="clear"/>
      </w:tcPr>
    </w:tblStylePr>
    <w:tblStylePr w:type="lastRow">
      <w:pPr>
        <w:spacing w:after="0" w:before="0" w:line="240" w:lineRule="auto"/>
      </w:pPr>
      <w:rPr>
        <w:b w:val="1"/>
        <w:bCs w:val="1"/>
      </w:rPr>
      <w:tblPr/>
      <w:tcPr>
        <w:tcBorders>
          <w:top w:color="7ba0cd" w:space="0" w:sz="6" w:val="double"/>
          <w:left w:color="7ba0cd" w:space="0" w:sz="8" w:val="single"/>
          <w:bottom w:color="7ba0cd" w:space="0" w:sz="8" w:val="single"/>
          <w:right w:color="7ba0cd"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val="clear"/>
      </w:tcPr>
    </w:tblStylePr>
    <w:tblStylePr w:type="band1Horz">
      <w:tblPr/>
      <w:tcPr>
        <w:tcBorders>
          <w:insideH w:space="0" w:sz="0" w:val="nil"/>
          <w:insideV w:space="0" w:sz="0" w:val="nil"/>
        </w:tcBorders>
        <w:shd w:color="auto" w:fill="d3dfee"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color="cf7b79" w:space="0" w:sz="8" w:val="single"/>
        <w:left w:color="cf7b79" w:space="0" w:sz="8" w:val="single"/>
        <w:bottom w:color="cf7b79" w:space="0" w:sz="8" w:val="single"/>
        <w:right w:color="cf7b79" w:space="0" w:sz="8" w:val="single"/>
        <w:insideH w:color="cf7b79" w:space="0" w:sz="8" w:val="single"/>
      </w:tblBorders>
    </w:tblPr>
    <w:tblStylePr w:type="firstRow">
      <w:pPr>
        <w:spacing w:after="0" w:before="0" w:line="240" w:lineRule="auto"/>
      </w:pPr>
      <w:rPr>
        <w:b w:val="1"/>
        <w:bCs w:val="1"/>
        <w:color w:val="ffffff"/>
      </w:rPr>
      <w:tblPr/>
      <w:tcPr>
        <w:tcBorders>
          <w:top w:color="cf7b79" w:space="0" w:sz="8" w:val="single"/>
          <w:left w:color="cf7b79" w:space="0" w:sz="8" w:val="single"/>
          <w:bottom w:color="cf7b79" w:space="0" w:sz="8" w:val="single"/>
          <w:right w:color="cf7b79" w:space="0" w:sz="8" w:val="single"/>
          <w:insideH w:space="0" w:sz="0" w:val="nil"/>
          <w:insideV w:space="0" w:sz="0" w:val="nil"/>
        </w:tcBorders>
        <w:shd w:color="auto" w:fill="c0504d" w:val="clear"/>
      </w:tcPr>
    </w:tblStylePr>
    <w:tblStylePr w:type="lastRow">
      <w:pPr>
        <w:spacing w:after="0" w:before="0" w:line="240" w:lineRule="auto"/>
      </w:pPr>
      <w:rPr>
        <w:b w:val="1"/>
        <w:bCs w:val="1"/>
      </w:rPr>
      <w:tblPr/>
      <w:tcPr>
        <w:tcBorders>
          <w:top w:color="cf7b79" w:space="0" w:sz="6" w:val="double"/>
          <w:left w:color="cf7b79" w:space="0" w:sz="8" w:val="single"/>
          <w:bottom w:color="cf7b79" w:space="0" w:sz="8" w:val="single"/>
          <w:right w:color="cf7b7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val="clear"/>
      </w:tcPr>
    </w:tblStylePr>
    <w:tblStylePr w:type="band1Horz">
      <w:tblPr/>
      <w:tcPr>
        <w:tcBorders>
          <w:insideH w:space="0" w:sz="0" w:val="nil"/>
          <w:insideV w:space="0" w:sz="0" w:val="nil"/>
        </w:tcBorders>
        <w:shd w:color="auto" w:fill="efd3d2"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color="b3cc82" w:space="0" w:sz="8" w:val="single"/>
        <w:left w:color="b3cc82" w:space="0" w:sz="8" w:val="single"/>
        <w:bottom w:color="b3cc82" w:space="0" w:sz="8" w:val="single"/>
        <w:right w:color="b3cc82" w:space="0" w:sz="8" w:val="single"/>
        <w:insideH w:color="b3cc82" w:space="0" w:sz="8" w:val="single"/>
      </w:tblBorders>
    </w:tblPr>
    <w:tblStylePr w:type="firstRow">
      <w:pPr>
        <w:spacing w:after="0" w:before="0" w:line="240" w:lineRule="auto"/>
      </w:pPr>
      <w:rPr>
        <w:b w:val="1"/>
        <w:bCs w:val="1"/>
        <w:color w:val="ffffff"/>
      </w:rPr>
      <w:tblPr/>
      <w:tcPr>
        <w:tcBorders>
          <w:top w:color="b3cc82" w:space="0" w:sz="8" w:val="single"/>
          <w:left w:color="b3cc82" w:space="0" w:sz="8" w:val="single"/>
          <w:bottom w:color="b3cc82" w:space="0" w:sz="8" w:val="single"/>
          <w:right w:color="b3cc82" w:space="0" w:sz="8" w:val="single"/>
          <w:insideH w:space="0" w:sz="0" w:val="nil"/>
          <w:insideV w:space="0" w:sz="0" w:val="nil"/>
        </w:tcBorders>
        <w:shd w:color="auto" w:fill="9bbb59" w:val="clear"/>
      </w:tcPr>
    </w:tblStylePr>
    <w:tblStylePr w:type="lastRow">
      <w:pPr>
        <w:spacing w:after="0" w:before="0" w:line="240" w:lineRule="auto"/>
      </w:pPr>
      <w:rPr>
        <w:b w:val="1"/>
        <w:bCs w:val="1"/>
      </w:rPr>
      <w:tblPr/>
      <w:tcPr>
        <w:tcBorders>
          <w:top w:color="b3cc82" w:space="0" w:sz="6" w:val="double"/>
          <w:left w:color="b3cc82" w:space="0" w:sz="8" w:val="single"/>
          <w:bottom w:color="b3cc82" w:space="0" w:sz="8" w:val="single"/>
          <w:right w:color="b3cc82"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val="clear"/>
      </w:tcPr>
    </w:tblStylePr>
    <w:tblStylePr w:type="band1Horz">
      <w:tblPr/>
      <w:tcPr>
        <w:tcBorders>
          <w:insideH w:space="0" w:sz="0" w:val="nil"/>
          <w:insideV w:space="0" w:sz="0" w:val="nil"/>
        </w:tcBorders>
        <w:shd w:color="auto" w:fill="e6eed5"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color="9f8ab9" w:space="0" w:sz="8" w:val="single"/>
        <w:left w:color="9f8ab9" w:space="0" w:sz="8" w:val="single"/>
        <w:bottom w:color="9f8ab9" w:space="0" w:sz="8" w:val="single"/>
        <w:right w:color="9f8ab9" w:space="0" w:sz="8" w:val="single"/>
        <w:insideH w:color="9f8ab9" w:space="0" w:sz="8" w:val="single"/>
      </w:tblBorders>
    </w:tblPr>
    <w:tblStylePr w:type="firstRow">
      <w:pPr>
        <w:spacing w:after="0" w:before="0" w:line="240" w:lineRule="auto"/>
      </w:pPr>
      <w:rPr>
        <w:b w:val="1"/>
        <w:bCs w:val="1"/>
        <w:color w:val="ffffff"/>
      </w:rPr>
      <w:tblPr/>
      <w:tcPr>
        <w:tcBorders>
          <w:top w:color="9f8ab9" w:space="0" w:sz="8" w:val="single"/>
          <w:left w:color="9f8ab9" w:space="0" w:sz="8" w:val="single"/>
          <w:bottom w:color="9f8ab9" w:space="0" w:sz="8" w:val="single"/>
          <w:right w:color="9f8ab9" w:space="0" w:sz="8" w:val="single"/>
          <w:insideH w:space="0" w:sz="0" w:val="nil"/>
          <w:insideV w:space="0" w:sz="0" w:val="nil"/>
        </w:tcBorders>
        <w:shd w:color="auto" w:fill="8064a2" w:val="clear"/>
      </w:tcPr>
    </w:tblStylePr>
    <w:tblStylePr w:type="lastRow">
      <w:pPr>
        <w:spacing w:after="0" w:before="0" w:line="240" w:lineRule="auto"/>
      </w:pPr>
      <w:rPr>
        <w:b w:val="1"/>
        <w:bCs w:val="1"/>
      </w:rPr>
      <w:tblPr/>
      <w:tcPr>
        <w:tcBorders>
          <w:top w:color="9f8ab9" w:space="0" w:sz="6" w:val="double"/>
          <w:left w:color="9f8ab9" w:space="0" w:sz="8" w:val="single"/>
          <w:bottom w:color="9f8ab9" w:space="0" w:sz="8" w:val="single"/>
          <w:right w:color="9f8ab9"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val="clear"/>
      </w:tcPr>
    </w:tblStylePr>
    <w:tblStylePr w:type="band1Horz">
      <w:tblPr/>
      <w:tcPr>
        <w:tcBorders>
          <w:insideH w:space="0" w:sz="0" w:val="nil"/>
          <w:insideV w:space="0" w:sz="0" w:val="nil"/>
        </w:tcBorders>
        <w:shd w:color="auto" w:fill="dfd8e8"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color="78c0d4" w:space="0" w:sz="8" w:val="single"/>
        <w:left w:color="78c0d4" w:space="0" w:sz="8" w:val="single"/>
        <w:bottom w:color="78c0d4" w:space="0" w:sz="8" w:val="single"/>
        <w:right w:color="78c0d4" w:space="0" w:sz="8" w:val="single"/>
        <w:insideH w:color="78c0d4" w:space="0" w:sz="8" w:val="single"/>
      </w:tblBorders>
    </w:tblPr>
    <w:tblStylePr w:type="firstRow">
      <w:pPr>
        <w:spacing w:after="0" w:before="0" w:line="240" w:lineRule="auto"/>
      </w:pPr>
      <w:rPr>
        <w:b w:val="1"/>
        <w:bCs w:val="1"/>
        <w:color w:val="ffffff"/>
      </w:rPr>
      <w:tblPr/>
      <w:tcPr>
        <w:tcBorders>
          <w:top w:color="78c0d4" w:space="0" w:sz="8" w:val="single"/>
          <w:left w:color="78c0d4" w:space="0" w:sz="8" w:val="single"/>
          <w:bottom w:color="78c0d4" w:space="0" w:sz="8" w:val="single"/>
          <w:right w:color="78c0d4" w:space="0" w:sz="8" w:val="single"/>
          <w:insideH w:space="0" w:sz="0" w:val="nil"/>
          <w:insideV w:space="0" w:sz="0" w:val="nil"/>
        </w:tcBorders>
        <w:shd w:color="auto" w:fill="4bacc6" w:val="clear"/>
      </w:tcPr>
    </w:tblStylePr>
    <w:tblStylePr w:type="lastRow">
      <w:pPr>
        <w:spacing w:after="0" w:before="0" w:line="240" w:lineRule="auto"/>
      </w:pPr>
      <w:rPr>
        <w:b w:val="1"/>
        <w:bCs w:val="1"/>
      </w:rPr>
      <w:tblPr/>
      <w:tcPr>
        <w:tcBorders>
          <w:top w:color="78c0d4" w:space="0" w:sz="6" w:val="double"/>
          <w:left w:color="78c0d4" w:space="0" w:sz="8" w:val="single"/>
          <w:bottom w:color="78c0d4" w:space="0" w:sz="8" w:val="single"/>
          <w:right w:color="78c0d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val="clear"/>
      </w:tcPr>
    </w:tblStylePr>
    <w:tblStylePr w:type="band1Horz">
      <w:tblPr/>
      <w:tcPr>
        <w:tcBorders>
          <w:insideH w:space="0" w:sz="0" w:val="nil"/>
          <w:insideV w:space="0" w:sz="0" w:val="nil"/>
        </w:tcBorders>
        <w:shd w:color="auto" w:fill="d2eaf1"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color="f9b074" w:space="0" w:sz="8" w:val="single"/>
        <w:left w:color="f9b074" w:space="0" w:sz="8" w:val="single"/>
        <w:bottom w:color="f9b074" w:space="0" w:sz="8" w:val="single"/>
        <w:right w:color="f9b074" w:space="0" w:sz="8" w:val="single"/>
        <w:insideH w:color="f9b074" w:space="0" w:sz="8" w:val="single"/>
      </w:tblBorders>
    </w:tblPr>
    <w:tblStylePr w:type="firstRow">
      <w:pPr>
        <w:spacing w:after="0" w:before="0" w:line="240" w:lineRule="auto"/>
      </w:pPr>
      <w:rPr>
        <w:b w:val="1"/>
        <w:bCs w:val="1"/>
        <w:color w:val="ffffff"/>
      </w:rPr>
      <w:tblPr/>
      <w:tcPr>
        <w:tcBorders>
          <w:top w:color="f9b074" w:space="0" w:sz="8" w:val="single"/>
          <w:left w:color="f9b074" w:space="0" w:sz="8" w:val="single"/>
          <w:bottom w:color="f9b074" w:space="0" w:sz="8" w:val="single"/>
          <w:right w:color="f9b074" w:space="0" w:sz="8" w:val="single"/>
          <w:insideH w:space="0" w:sz="0" w:val="nil"/>
          <w:insideV w:space="0" w:sz="0" w:val="nil"/>
        </w:tcBorders>
        <w:shd w:color="auto" w:fill="f79646" w:val="clear"/>
      </w:tcPr>
    </w:tblStylePr>
    <w:tblStylePr w:type="lastRow">
      <w:pPr>
        <w:spacing w:after="0" w:before="0" w:line="240" w:lineRule="auto"/>
      </w:pPr>
      <w:rPr>
        <w:b w:val="1"/>
        <w:bCs w:val="1"/>
      </w:rPr>
      <w:tblPr/>
      <w:tcPr>
        <w:tcBorders>
          <w:top w:color="f9b074" w:space="0" w:sz="6" w:val="double"/>
          <w:left w:color="f9b074" w:space="0" w:sz="8" w:val="single"/>
          <w:bottom w:color="f9b074" w:space="0" w:sz="8" w:val="single"/>
          <w:right w:color="f9b074" w:space="0" w:sz="8"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val="clear"/>
      </w:tcPr>
    </w:tblStylePr>
    <w:tblStylePr w:type="band1Horz">
      <w:tblPr/>
      <w:tcPr>
        <w:tcBorders>
          <w:insideH w:space="0" w:sz="0" w:val="nil"/>
          <w:insideV w:space="0" w:sz="0" w:val="nil"/>
        </w:tcBorders>
        <w:shd w:color="auto" w:fill="fde4d0"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000000"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000000" w:val="clear"/>
      </w:tcPr>
    </w:tblStylePr>
    <w:tblStylePr w:type="lastCol">
      <w:rPr>
        <w:b w:val="1"/>
        <w:bCs w:val="1"/>
        <w:color w:val="ffffff"/>
      </w:rPr>
      <w:tblPr/>
      <w:tcPr>
        <w:tcBorders>
          <w:left w:space="0" w:sz="0" w:val="nil"/>
          <w:right w:space="0" w:sz="0" w:val="nil"/>
          <w:insideH w:space="0" w:sz="0" w:val="nil"/>
          <w:insideV w:space="0" w:sz="0" w:val="nil"/>
        </w:tcBorders>
        <w:shd w:color="auto" w:fill="000000"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4f81bd"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4f81bd" w:val="clear"/>
      </w:tcPr>
    </w:tblStylePr>
    <w:tblStylePr w:type="lastCol">
      <w:rPr>
        <w:b w:val="1"/>
        <w:bCs w:val="1"/>
        <w:color w:val="ffffff"/>
      </w:rPr>
      <w:tblPr/>
      <w:tcPr>
        <w:tcBorders>
          <w:left w:space="0" w:sz="0" w:val="nil"/>
          <w:right w:space="0" w:sz="0" w:val="nil"/>
          <w:insideH w:space="0" w:sz="0" w:val="nil"/>
          <w:insideV w:space="0" w:sz="0" w:val="nil"/>
        </w:tcBorders>
        <w:shd w:color="auto" w:fill="4f81bd"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c0504d"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c0504d" w:val="clear"/>
      </w:tcPr>
    </w:tblStylePr>
    <w:tblStylePr w:type="lastCol">
      <w:rPr>
        <w:b w:val="1"/>
        <w:bCs w:val="1"/>
        <w:color w:val="ffffff"/>
      </w:rPr>
      <w:tblPr/>
      <w:tcPr>
        <w:tcBorders>
          <w:left w:space="0" w:sz="0" w:val="nil"/>
          <w:right w:space="0" w:sz="0" w:val="nil"/>
          <w:insideH w:space="0" w:sz="0" w:val="nil"/>
          <w:insideV w:space="0" w:sz="0" w:val="nil"/>
        </w:tcBorders>
        <w:shd w:color="auto" w:fill="c0504d"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9bbb59"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9bbb59" w:val="clear"/>
      </w:tcPr>
    </w:tblStylePr>
    <w:tblStylePr w:type="lastCol">
      <w:rPr>
        <w:b w:val="1"/>
        <w:bCs w:val="1"/>
        <w:color w:val="ffffff"/>
      </w:rPr>
      <w:tblPr/>
      <w:tcPr>
        <w:tcBorders>
          <w:left w:space="0" w:sz="0" w:val="nil"/>
          <w:right w:space="0" w:sz="0" w:val="nil"/>
          <w:insideH w:space="0" w:sz="0" w:val="nil"/>
          <w:insideV w:space="0" w:sz="0" w:val="nil"/>
        </w:tcBorders>
        <w:shd w:color="auto" w:fill="9bbb59"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8064a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8064a2" w:val="clear"/>
      </w:tcPr>
    </w:tblStylePr>
    <w:tblStylePr w:type="lastCol">
      <w:rPr>
        <w:b w:val="1"/>
        <w:bCs w:val="1"/>
        <w:color w:val="ffffff"/>
      </w:rPr>
      <w:tblPr/>
      <w:tcPr>
        <w:tcBorders>
          <w:left w:space="0" w:sz="0" w:val="nil"/>
          <w:right w:space="0" w:sz="0" w:val="nil"/>
          <w:insideH w:space="0" w:sz="0" w:val="nil"/>
          <w:insideV w:space="0" w:sz="0" w:val="nil"/>
        </w:tcBorders>
        <w:shd w:color="auto" w:fill="8064a2"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4bacc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4bacc6" w:val="clear"/>
      </w:tcPr>
    </w:tblStylePr>
    <w:tblStylePr w:type="lastCol">
      <w:rPr>
        <w:b w:val="1"/>
        <w:bCs w:val="1"/>
        <w:color w:val="ffffff"/>
      </w:rPr>
      <w:tblPr/>
      <w:tcPr>
        <w:tcBorders>
          <w:left w:space="0" w:sz="0" w:val="nil"/>
          <w:right w:space="0" w:sz="0" w:val="nil"/>
          <w:insideH w:space="0" w:sz="0" w:val="nil"/>
          <w:insideV w:space="0" w:sz="0" w:val="nil"/>
        </w:tcBorders>
        <w:shd w:color="auto" w:fill="4bacc6"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rPr>
      <w:tblPr/>
      <w:tcPr>
        <w:tcBorders>
          <w:top w:color="auto" w:space="0" w:sz="18" w:val="single"/>
          <w:left w:space="0" w:sz="0" w:val="nil"/>
          <w:bottom w:color="auto" w:space="0" w:sz="18" w:val="single"/>
          <w:right w:space="0" w:sz="0" w:val="nil"/>
          <w:insideH w:space="0" w:sz="0" w:val="nil"/>
          <w:insideV w:space="0" w:sz="0" w:val="nil"/>
        </w:tcBorders>
        <w:shd w:color="auto" w:fill="f7964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val="clear"/>
      </w:tcPr>
    </w:tblStylePr>
    <w:tblStylePr w:type="firstCol">
      <w:rPr>
        <w:b w:val="1"/>
        <w:bCs w:val="1"/>
        <w:color w:val="ffffff"/>
      </w:rPr>
      <w:tblPr/>
      <w:tcPr>
        <w:tcBorders>
          <w:top w:space="0" w:sz="0" w:val="nil"/>
          <w:left w:space="0" w:sz="0" w:val="nil"/>
          <w:bottom w:color="auto" w:space="0" w:sz="18" w:val="single"/>
          <w:right w:space="0" w:sz="0" w:val="nil"/>
          <w:insideH w:space="0" w:sz="0" w:val="nil"/>
          <w:insideV w:space="0" w:sz="0" w:val="nil"/>
        </w:tcBorders>
        <w:shd w:color="auto" w:fill="f79646" w:val="clear"/>
      </w:tcPr>
    </w:tblStylePr>
    <w:tblStylePr w:type="lastCol">
      <w:rPr>
        <w:b w:val="1"/>
        <w:bCs w:val="1"/>
        <w:color w:val="ffffff"/>
      </w:rPr>
      <w:tblPr/>
      <w:tcPr>
        <w:tcBorders>
          <w:left w:space="0" w:sz="0" w:val="nil"/>
          <w:right w:space="0" w:sz="0" w:val="nil"/>
          <w:insideH w:space="0" w:sz="0" w:val="nil"/>
          <w:insideV w:space="0" w:sz="0" w:val="nil"/>
        </w:tcBorders>
        <w:shd w:color="auto" w:fill="f79646" w:val="clear"/>
      </w:tcPr>
    </w:tblStylePr>
    <w:tblStylePr w:type="band1Vert">
      <w:tblPr/>
      <w:tcPr>
        <w:tcBorders>
          <w:left w:space="0" w:sz="0" w:val="nil"/>
          <w:right w:space="0" w:sz="0" w:val="nil"/>
          <w:insideH w:space="0" w:sz="0" w:val="nil"/>
          <w:insideV w:space="0" w:sz="0" w:val="nil"/>
        </w:tcBorders>
        <w:shd w:color="auto" w:fill="d8d8d8" w:val="clear"/>
      </w:tcPr>
    </w:tblStylePr>
    <w:tblStylePr w:type="band1Horz">
      <w:tblPr/>
      <w:tcPr>
        <w:shd w:color="auto" w:fill="d8d8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pPr>
      <w:spacing w:after="0" w:line="240" w:lineRule="auto"/>
    </w:pPr>
    <w:rPr>
      <w:color w:val="000000"/>
    </w:rPr>
    <w:tblPr>
      <w:tblStyleRowBandSize w:val="1"/>
      <w:tblStyleColBandSize w:val="1"/>
      <w:tblBorders>
        <w:top w:color="000000" w:space="0" w:sz="8" w:val="single"/>
        <w:bottom w:color="000000" w:space="0" w:sz="8" w:val="single"/>
      </w:tblBorders>
    </w:tblPr>
    <w:tblStylePr w:type="firstRow">
      <w:rPr>
        <w:rFonts w:ascii="Calibri" w:cs="SimSun" w:eastAsia="MS Gothic" w:hAnsi="Calibri"/>
      </w:rPr>
      <w:tblPr/>
      <w:tcPr>
        <w:tcBorders>
          <w:top w:space="0" w:sz="0" w:val="nil"/>
          <w:bottom w:color="000000" w:space="0" w:sz="8" w:val="single"/>
        </w:tcBorders>
      </w:tcPr>
    </w:tblStylePr>
    <w:tblStylePr w:type="lastRow">
      <w:rPr>
        <w:b w:val="1"/>
        <w:bCs w:val="1"/>
        <w:color w:val="1f497d"/>
      </w:rPr>
      <w:tblPr/>
      <w:tcPr>
        <w:tcBorders>
          <w:top w:color="000000" w:space="0" w:sz="8" w:val="single"/>
          <w:bottom w:color="000000" w:space="0" w:sz="8" w:val="single"/>
        </w:tcBorders>
      </w:tcPr>
    </w:tblStylePr>
    <w:tblStylePr w:type="firstCol">
      <w:rPr>
        <w:b w:val="1"/>
        <w:bCs w:val="1"/>
      </w:rPr>
    </w:tblStylePr>
    <w:tblStylePr w:type="lastCol">
      <w:rPr>
        <w:b w:val="1"/>
        <w:bCs w:val="1"/>
      </w:rPr>
      <w:tblPr/>
      <w:tcPr>
        <w:tcBorders>
          <w:top w:color="000000" w:space="0" w:sz="8" w:val="single"/>
          <w:bottom w:color="000000" w:space="0" w:sz="8" w:val="single"/>
        </w:tcBorders>
      </w:tcPr>
    </w:tblStylePr>
    <w:tblStylePr w:type="band1Vert">
      <w:tblPr/>
      <w:tcPr>
        <w:shd w:color="auto" w:fill="c0c0c0" w:val="clear"/>
      </w:tcPr>
    </w:tblStylePr>
    <w:tblStylePr w:type="band1Horz">
      <w:tblPr/>
      <w:tcPr>
        <w:shd w:color="auto" w:fill="c0c0c0" w:val="clear"/>
      </w:tcPr>
    </w:tblStylePr>
  </w:style>
  <w:style w:type="table" w:styleId="MediumList1-Accent1">
    <w:name w:val="Medium List 1 Accent 1"/>
    <w:basedOn w:val="TableNormal"/>
    <w:uiPriority w:val="65"/>
    <w:pPr>
      <w:spacing w:after="0" w:line="240" w:lineRule="auto"/>
    </w:pPr>
    <w:rPr>
      <w:color w:val="000000"/>
    </w:rPr>
    <w:tblPr>
      <w:tblStyleRowBandSize w:val="1"/>
      <w:tblStyleColBandSize w:val="1"/>
      <w:tblBorders>
        <w:top w:color="4f81bd" w:space="0" w:sz="8" w:val="single"/>
        <w:bottom w:color="4f81bd" w:space="0" w:sz="8" w:val="single"/>
      </w:tblBorders>
    </w:tblPr>
    <w:tblStylePr w:type="firstRow">
      <w:rPr>
        <w:rFonts w:ascii="Calibri" w:cs="SimSun" w:eastAsia="MS Gothic" w:hAnsi="Calibri"/>
      </w:rPr>
      <w:tblPr/>
      <w:tcPr>
        <w:tcBorders>
          <w:top w:space="0" w:sz="0" w:val="nil"/>
          <w:bottom w:color="4f81bd" w:space="0" w:sz="8" w:val="single"/>
        </w:tcBorders>
      </w:tcPr>
    </w:tblStylePr>
    <w:tblStylePr w:type="lastRow">
      <w:rPr>
        <w:b w:val="1"/>
        <w:bCs w:val="1"/>
        <w:color w:val="1f497d"/>
      </w:rPr>
      <w:tblPr/>
      <w:tcPr>
        <w:tcBorders>
          <w:top w:color="4f81bd" w:space="0" w:sz="8" w:val="single"/>
          <w:bottom w:color="4f81bd" w:space="0" w:sz="8" w:val="single"/>
        </w:tcBorders>
      </w:tcPr>
    </w:tblStylePr>
    <w:tblStylePr w:type="firstCol">
      <w:rPr>
        <w:b w:val="1"/>
        <w:bCs w:val="1"/>
      </w:rPr>
    </w:tblStylePr>
    <w:tblStylePr w:type="lastCol">
      <w:rPr>
        <w:b w:val="1"/>
        <w:bCs w:val="1"/>
      </w:rPr>
      <w:tblPr/>
      <w:tcPr>
        <w:tcBorders>
          <w:top w:color="4f81bd" w:space="0" w:sz="8" w:val="single"/>
          <w:bottom w:color="4f81bd" w:space="0" w:sz="8" w:val="single"/>
        </w:tcBorders>
      </w:tcPr>
    </w:tblStylePr>
    <w:tblStylePr w:type="band1Vert">
      <w:tblPr/>
      <w:tcPr>
        <w:shd w:color="auto" w:fill="d3dfee" w:val="clear"/>
      </w:tcPr>
    </w:tblStylePr>
    <w:tblStylePr w:type="band1Horz">
      <w:tblPr/>
      <w:tcPr>
        <w:shd w:color="auto" w:fill="d3dfee" w:val="clear"/>
      </w:tcPr>
    </w:tblStylePr>
  </w:style>
  <w:style w:type="table" w:styleId="MediumList1-Accent2">
    <w:name w:val="Medium List 1 Accent 2"/>
    <w:basedOn w:val="TableNormal"/>
    <w:uiPriority w:val="65"/>
    <w:pPr>
      <w:spacing w:after="0" w:line="240" w:lineRule="auto"/>
    </w:pPr>
    <w:rPr>
      <w:color w:val="000000"/>
    </w:rPr>
    <w:tblPr>
      <w:tblStyleRowBandSize w:val="1"/>
      <w:tblStyleColBandSize w:val="1"/>
      <w:tblBorders>
        <w:top w:color="c0504d" w:space="0" w:sz="8" w:val="single"/>
        <w:bottom w:color="c0504d" w:space="0" w:sz="8" w:val="single"/>
      </w:tblBorders>
    </w:tblPr>
    <w:tblStylePr w:type="firstRow">
      <w:rPr>
        <w:rFonts w:ascii="Calibri" w:cs="SimSun" w:eastAsia="MS Gothic" w:hAnsi="Calibri"/>
      </w:rPr>
      <w:tblPr/>
      <w:tcPr>
        <w:tcBorders>
          <w:top w:space="0" w:sz="0" w:val="nil"/>
          <w:bottom w:color="c0504d" w:space="0" w:sz="8" w:val="single"/>
        </w:tcBorders>
      </w:tcPr>
    </w:tblStylePr>
    <w:tblStylePr w:type="lastRow">
      <w:rPr>
        <w:b w:val="1"/>
        <w:bCs w:val="1"/>
        <w:color w:val="1f497d"/>
      </w:rPr>
      <w:tblPr/>
      <w:tcPr>
        <w:tcBorders>
          <w:top w:color="c0504d" w:space="0" w:sz="8" w:val="single"/>
          <w:bottom w:color="c0504d" w:space="0" w:sz="8" w:val="single"/>
        </w:tcBorders>
      </w:tcPr>
    </w:tblStylePr>
    <w:tblStylePr w:type="firstCol">
      <w:rPr>
        <w:b w:val="1"/>
        <w:bCs w:val="1"/>
      </w:rPr>
    </w:tblStylePr>
    <w:tblStylePr w:type="lastCol">
      <w:rPr>
        <w:b w:val="1"/>
        <w:bCs w:val="1"/>
      </w:rPr>
      <w:tblPr/>
      <w:tcPr>
        <w:tcBorders>
          <w:top w:color="c0504d" w:space="0" w:sz="8" w:val="single"/>
          <w:bottom w:color="c0504d" w:space="0" w:sz="8" w:val="single"/>
        </w:tcBorders>
      </w:tcPr>
    </w:tblStylePr>
    <w:tblStylePr w:type="band1Vert">
      <w:tblPr/>
      <w:tcPr>
        <w:shd w:color="auto" w:fill="efd3d2" w:val="clear"/>
      </w:tcPr>
    </w:tblStylePr>
    <w:tblStylePr w:type="band1Horz">
      <w:tblPr/>
      <w:tcPr>
        <w:shd w:color="auto" w:fill="efd3d2" w:val="clear"/>
      </w:tcPr>
    </w:tblStylePr>
  </w:style>
  <w:style w:type="table" w:styleId="MediumList1-Accent3">
    <w:name w:val="Medium List 1 Accent 3"/>
    <w:basedOn w:val="TableNormal"/>
    <w:uiPriority w:val="65"/>
    <w:pPr>
      <w:spacing w:after="0" w:line="240" w:lineRule="auto"/>
    </w:pPr>
    <w:rPr>
      <w:color w:val="000000"/>
    </w:rPr>
    <w:tblPr>
      <w:tblStyleRowBandSize w:val="1"/>
      <w:tblStyleColBandSize w:val="1"/>
      <w:tblBorders>
        <w:top w:color="9bbb59" w:space="0" w:sz="8" w:val="single"/>
        <w:bottom w:color="9bbb59" w:space="0" w:sz="8" w:val="single"/>
      </w:tblBorders>
    </w:tblPr>
    <w:tblStylePr w:type="firstRow">
      <w:rPr>
        <w:rFonts w:ascii="Calibri" w:cs="SimSun" w:eastAsia="MS Gothic" w:hAnsi="Calibri"/>
      </w:rPr>
      <w:tblPr/>
      <w:tcPr>
        <w:tcBorders>
          <w:top w:space="0" w:sz="0" w:val="nil"/>
          <w:bottom w:color="9bbb59" w:space="0" w:sz="8" w:val="single"/>
        </w:tcBorders>
      </w:tcPr>
    </w:tblStylePr>
    <w:tblStylePr w:type="lastRow">
      <w:rPr>
        <w:b w:val="1"/>
        <w:bCs w:val="1"/>
        <w:color w:val="1f497d"/>
      </w:rPr>
      <w:tblPr/>
      <w:tcPr>
        <w:tcBorders>
          <w:top w:color="9bbb59" w:space="0" w:sz="8" w:val="single"/>
          <w:bottom w:color="9bbb59" w:space="0" w:sz="8" w:val="single"/>
        </w:tcBorders>
      </w:tcPr>
    </w:tblStylePr>
    <w:tblStylePr w:type="firstCol">
      <w:rPr>
        <w:b w:val="1"/>
        <w:bCs w:val="1"/>
      </w:rPr>
    </w:tblStylePr>
    <w:tblStylePr w:type="lastCol">
      <w:rPr>
        <w:b w:val="1"/>
        <w:bCs w:val="1"/>
      </w:rPr>
      <w:tblPr/>
      <w:tcPr>
        <w:tcBorders>
          <w:top w:color="9bbb59" w:space="0" w:sz="8" w:val="single"/>
          <w:bottom w:color="9bbb59" w:space="0" w:sz="8" w:val="single"/>
        </w:tcBorders>
      </w:tcPr>
    </w:tblStylePr>
    <w:tblStylePr w:type="band1Vert">
      <w:tblPr/>
      <w:tcPr>
        <w:shd w:color="auto" w:fill="e6eed5" w:val="clear"/>
      </w:tcPr>
    </w:tblStylePr>
    <w:tblStylePr w:type="band1Horz">
      <w:tblPr/>
      <w:tcPr>
        <w:shd w:color="auto" w:fill="e6eed5" w:val="clear"/>
      </w:tcPr>
    </w:tblStylePr>
  </w:style>
  <w:style w:type="table" w:styleId="MediumList1-Accent4">
    <w:name w:val="Medium List 1 Accent 4"/>
    <w:basedOn w:val="TableNormal"/>
    <w:uiPriority w:val="65"/>
    <w:pPr>
      <w:spacing w:after="0" w:line="240" w:lineRule="auto"/>
    </w:pPr>
    <w:rPr>
      <w:color w:val="000000"/>
    </w:rPr>
    <w:tblPr>
      <w:tblStyleRowBandSize w:val="1"/>
      <w:tblStyleColBandSize w:val="1"/>
      <w:tblBorders>
        <w:top w:color="8064a2" w:space="0" w:sz="8" w:val="single"/>
        <w:bottom w:color="8064a2" w:space="0" w:sz="8" w:val="single"/>
      </w:tblBorders>
    </w:tblPr>
    <w:tblStylePr w:type="firstRow">
      <w:rPr>
        <w:rFonts w:ascii="Calibri" w:cs="SimSun" w:eastAsia="MS Gothic" w:hAnsi="Calibri"/>
      </w:rPr>
      <w:tblPr/>
      <w:tcPr>
        <w:tcBorders>
          <w:top w:space="0" w:sz="0" w:val="nil"/>
          <w:bottom w:color="8064a2" w:space="0" w:sz="8" w:val="single"/>
        </w:tcBorders>
      </w:tcPr>
    </w:tblStylePr>
    <w:tblStylePr w:type="lastRow">
      <w:rPr>
        <w:b w:val="1"/>
        <w:bCs w:val="1"/>
        <w:color w:val="1f497d"/>
      </w:rPr>
      <w:tblPr/>
      <w:tcPr>
        <w:tcBorders>
          <w:top w:color="8064a2" w:space="0" w:sz="8" w:val="single"/>
          <w:bottom w:color="8064a2" w:space="0" w:sz="8" w:val="single"/>
        </w:tcBorders>
      </w:tcPr>
    </w:tblStylePr>
    <w:tblStylePr w:type="firstCol">
      <w:rPr>
        <w:b w:val="1"/>
        <w:bCs w:val="1"/>
      </w:rPr>
    </w:tblStylePr>
    <w:tblStylePr w:type="lastCol">
      <w:rPr>
        <w:b w:val="1"/>
        <w:bCs w:val="1"/>
      </w:rPr>
      <w:tblPr/>
      <w:tcPr>
        <w:tcBorders>
          <w:top w:color="8064a2" w:space="0" w:sz="8" w:val="single"/>
          <w:bottom w:color="8064a2" w:space="0" w:sz="8" w:val="single"/>
        </w:tcBorders>
      </w:tcPr>
    </w:tblStylePr>
    <w:tblStylePr w:type="band1Vert">
      <w:tblPr/>
      <w:tcPr>
        <w:shd w:color="auto" w:fill="dfd8e8" w:val="clear"/>
      </w:tcPr>
    </w:tblStylePr>
    <w:tblStylePr w:type="band1Horz">
      <w:tblPr/>
      <w:tcPr>
        <w:shd w:color="auto" w:fill="dfd8e8" w:val="clear"/>
      </w:tcPr>
    </w:tblStylePr>
  </w:style>
  <w:style w:type="table" w:styleId="MediumList1-Accent5">
    <w:name w:val="Medium List 1 Accent 5"/>
    <w:basedOn w:val="TableNormal"/>
    <w:uiPriority w:val="65"/>
    <w:pPr>
      <w:spacing w:after="0" w:line="240" w:lineRule="auto"/>
    </w:pPr>
    <w:rPr>
      <w:color w:val="000000"/>
    </w:rPr>
    <w:tblPr>
      <w:tblStyleRowBandSize w:val="1"/>
      <w:tblStyleColBandSize w:val="1"/>
      <w:tblBorders>
        <w:top w:color="4bacc6" w:space="0" w:sz="8" w:val="single"/>
        <w:bottom w:color="4bacc6" w:space="0" w:sz="8" w:val="single"/>
      </w:tblBorders>
    </w:tblPr>
    <w:tblStylePr w:type="firstRow">
      <w:rPr>
        <w:rFonts w:ascii="Calibri" w:cs="SimSun" w:eastAsia="MS Gothic" w:hAnsi="Calibri"/>
      </w:rPr>
      <w:tblPr/>
      <w:tcPr>
        <w:tcBorders>
          <w:top w:space="0" w:sz="0" w:val="nil"/>
          <w:bottom w:color="4bacc6" w:space="0" w:sz="8" w:val="single"/>
        </w:tcBorders>
      </w:tcPr>
    </w:tblStylePr>
    <w:tblStylePr w:type="lastRow">
      <w:rPr>
        <w:b w:val="1"/>
        <w:bCs w:val="1"/>
        <w:color w:val="1f497d"/>
      </w:rPr>
      <w:tblPr/>
      <w:tcPr>
        <w:tcBorders>
          <w:top w:color="4bacc6" w:space="0" w:sz="8" w:val="single"/>
          <w:bottom w:color="4bacc6" w:space="0" w:sz="8" w:val="single"/>
        </w:tcBorders>
      </w:tcPr>
    </w:tblStylePr>
    <w:tblStylePr w:type="firstCol">
      <w:rPr>
        <w:b w:val="1"/>
        <w:bCs w:val="1"/>
      </w:rPr>
    </w:tblStylePr>
    <w:tblStylePr w:type="lastCol">
      <w:rPr>
        <w:b w:val="1"/>
        <w:bCs w:val="1"/>
      </w:rPr>
      <w:tblPr/>
      <w:tcPr>
        <w:tcBorders>
          <w:top w:color="4bacc6" w:space="0" w:sz="8" w:val="single"/>
          <w:bottom w:color="4bacc6" w:space="0" w:sz="8" w:val="single"/>
        </w:tcBorders>
      </w:tcPr>
    </w:tblStylePr>
    <w:tblStylePr w:type="band1Vert">
      <w:tblPr/>
      <w:tcPr>
        <w:shd w:color="auto" w:fill="d2eaf1" w:val="clear"/>
      </w:tcPr>
    </w:tblStylePr>
    <w:tblStylePr w:type="band1Horz">
      <w:tblPr/>
      <w:tcPr>
        <w:shd w:color="auto" w:fill="d2eaf1" w:val="clear"/>
      </w:tcPr>
    </w:tblStylePr>
  </w:style>
  <w:style w:type="table" w:styleId="MediumList1-Accent6">
    <w:name w:val="Medium List 1 Accent 6"/>
    <w:basedOn w:val="TableNormal"/>
    <w:uiPriority w:val="65"/>
    <w:pPr>
      <w:spacing w:after="0" w:line="240" w:lineRule="auto"/>
    </w:pPr>
    <w:rPr>
      <w:color w:val="000000"/>
    </w:rPr>
    <w:tblPr>
      <w:tblStyleRowBandSize w:val="1"/>
      <w:tblStyleColBandSize w:val="1"/>
      <w:tblBorders>
        <w:top w:color="f79646" w:space="0" w:sz="8" w:val="single"/>
        <w:bottom w:color="f79646" w:space="0" w:sz="8" w:val="single"/>
      </w:tblBorders>
    </w:tblPr>
    <w:tblStylePr w:type="firstRow">
      <w:rPr>
        <w:rFonts w:ascii="Calibri" w:cs="SimSun" w:eastAsia="MS Gothic" w:hAnsi="Calibri"/>
      </w:rPr>
      <w:tblPr/>
      <w:tcPr>
        <w:tcBorders>
          <w:top w:space="0" w:sz="0" w:val="nil"/>
          <w:bottom w:color="f79646" w:space="0" w:sz="8" w:val="single"/>
        </w:tcBorders>
      </w:tcPr>
    </w:tblStylePr>
    <w:tblStylePr w:type="lastRow">
      <w:rPr>
        <w:b w:val="1"/>
        <w:bCs w:val="1"/>
        <w:color w:val="1f497d"/>
      </w:rPr>
      <w:tblPr/>
      <w:tcPr>
        <w:tcBorders>
          <w:top w:color="f79646" w:space="0" w:sz="8" w:val="single"/>
          <w:bottom w:color="f79646" w:space="0" w:sz="8" w:val="single"/>
        </w:tcBorders>
      </w:tcPr>
    </w:tblStylePr>
    <w:tblStylePr w:type="firstCol">
      <w:rPr>
        <w:b w:val="1"/>
        <w:bCs w:val="1"/>
      </w:rPr>
    </w:tblStylePr>
    <w:tblStylePr w:type="lastCol">
      <w:rPr>
        <w:b w:val="1"/>
        <w:bCs w:val="1"/>
      </w:rPr>
      <w:tblPr/>
      <w:tcPr>
        <w:tcBorders>
          <w:top w:color="f79646" w:space="0" w:sz="8" w:val="single"/>
          <w:bottom w:color="f79646" w:space="0" w:sz="8" w:val="single"/>
        </w:tcBorders>
      </w:tcPr>
    </w:tblStylePr>
    <w:tblStylePr w:type="band1Vert">
      <w:tblPr/>
      <w:tcPr>
        <w:shd w:color="auto" w:fill="fde4d0" w:val="clear"/>
      </w:tcPr>
    </w:tblStylePr>
    <w:tblStylePr w:type="band1Horz">
      <w:tblPr/>
      <w:tcPr>
        <w:shd w:color="auto" w:fill="fde4d0" w:val="clear"/>
      </w:tcPr>
    </w:tblStylePr>
  </w:style>
  <w:style w:type="table" w:styleId="MediumList2">
    <w:name w:val="Medium List 2"/>
    <w:basedOn w:val="TableNormal"/>
    <w:uiPriority w:val="66"/>
    <w:pPr>
      <w:spacing w:after="0" w:line="240" w:lineRule="auto"/>
    </w:pPr>
    <w:rPr>
      <w:rFonts w:ascii="Calibri" w:eastAsia="MS Gothic" w:hAnsi="Calibri"/>
      <w:color w:val="000000"/>
    </w:rPr>
    <w:tblPr>
      <w:tblStyleRowBandSize w:val="1"/>
      <w:tblStyleColBandSize w:val="1"/>
      <w:tblBorders>
        <w:top w:color="000000" w:space="0" w:sz="8" w:val="single"/>
        <w:left w:color="000000" w:space="0" w:sz="8" w:val="single"/>
        <w:bottom w:color="000000" w:space="0" w:sz="8" w:val="single"/>
        <w:right w:color="000000" w:space="0" w:sz="8" w:val="single"/>
      </w:tblBorders>
    </w:tblPr>
    <w:tblStylePr w:type="firstRow">
      <w:rPr>
        <w:sz w:val="24"/>
        <w:szCs w:val="24"/>
      </w:rPr>
      <w:tblPr/>
      <w:tcPr>
        <w:tcBorders>
          <w:top w:space="0" w:sz="0" w:val="nil"/>
          <w:left w:space="0" w:sz="0" w:val="nil"/>
          <w:bottom w:color="000000" w:space="0" w:sz="24" w:val="single"/>
          <w:right w:space="0" w:sz="0" w:val="nil"/>
          <w:insideH w:space="0" w:sz="0" w:val="nil"/>
          <w:insideV w:space="0" w:sz="0" w:val="nil"/>
        </w:tcBorders>
        <w:shd w:color="auto" w:fill="ffffff" w:val="clear"/>
      </w:tcPr>
    </w:tblStylePr>
    <w:tblStylePr w:type="lastRow">
      <w:tblPr/>
      <w:tcPr>
        <w:tcBorders>
          <w:top w:color="000000"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000000" w:space="0" w:sz="8" w:val="single"/>
          <w:insideH w:space="0" w:sz="0" w:val="nil"/>
          <w:insideV w:space="0" w:sz="0" w:val="nil"/>
        </w:tcBorders>
        <w:shd w:color="auto" w:fill="ffffff" w:val="clear"/>
      </w:tcPr>
    </w:tblStylePr>
    <w:tblStylePr w:type="lastCol">
      <w:tblPr/>
      <w:tcPr>
        <w:tcBorders>
          <w:top w:space="0" w:sz="0" w:val="nil"/>
          <w:left w:color="000000"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c0c0c0" w:val="clear"/>
      </w:tcPr>
    </w:tblStylePr>
    <w:tblStylePr w:type="band1Horz">
      <w:tblPr/>
      <w:tcPr>
        <w:tcBorders>
          <w:top w:space="0" w:sz="0" w:val="nil"/>
          <w:bottom w:space="0" w:sz="0" w:val="nil"/>
          <w:insideH w:space="0" w:sz="0" w:val="nil"/>
          <w:insideV w:space="0" w:sz="0" w:val="nil"/>
        </w:tcBorders>
        <w:shd w:color="auto" w:fill="c0c0c0" w:val="clear"/>
      </w:tcPr>
    </w:tblStylePr>
    <w:tblStylePr w:type="nwCell">
      <w:tblPr/>
      <w:tcPr>
        <w:shd w:color="auto" w:fill="ffffff" w:val="clear"/>
      </w:tcPr>
    </w:tblStylePr>
    <w:tblStylePr w:type="swCell">
      <w:tblPr/>
      <w:tcPr>
        <w:tcBorders>
          <w:top w:space="0" w:sz="0" w:val="nil"/>
        </w:tcBorders>
      </w:tcPr>
    </w:tblStylePr>
  </w:style>
  <w:style w:type="table" w:styleId="MediumList2-Accent1">
    <w:name w:val="Medium List 2 Accent 1"/>
    <w:basedOn w:val="TableNormal"/>
    <w:uiPriority w:val="66"/>
    <w:pPr>
      <w:spacing w:after="0" w:line="240" w:lineRule="auto"/>
    </w:pPr>
    <w:rPr>
      <w:rFonts w:ascii="Calibri" w:eastAsia="MS Gothic" w:hAnsi="Calibri"/>
      <w:color w:val="000000"/>
    </w:rPr>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rPr>
        <w:sz w:val="24"/>
        <w:szCs w:val="24"/>
      </w:rPr>
      <w:tblPr/>
      <w:tcPr>
        <w:tcBorders>
          <w:top w:space="0" w:sz="0" w:val="nil"/>
          <w:left w:space="0" w:sz="0" w:val="nil"/>
          <w:bottom w:color="4f81bd" w:space="0" w:sz="24" w:val="single"/>
          <w:right w:space="0" w:sz="0" w:val="nil"/>
          <w:insideH w:space="0" w:sz="0" w:val="nil"/>
          <w:insideV w:space="0" w:sz="0" w:val="nil"/>
        </w:tcBorders>
        <w:shd w:color="auto" w:fill="ffffff" w:val="clear"/>
      </w:tcPr>
    </w:tblStylePr>
    <w:tblStylePr w:type="lastRow">
      <w:tblPr/>
      <w:tcPr>
        <w:tcBorders>
          <w:top w:color="4f81b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f81bd" w:space="0" w:sz="8" w:val="single"/>
          <w:insideH w:space="0" w:sz="0" w:val="nil"/>
          <w:insideV w:space="0" w:sz="0" w:val="nil"/>
        </w:tcBorders>
        <w:shd w:color="auto" w:fill="ffffff" w:val="clear"/>
      </w:tcPr>
    </w:tblStylePr>
    <w:tblStylePr w:type="lastCol">
      <w:tblPr/>
      <w:tcPr>
        <w:tcBorders>
          <w:top w:space="0" w:sz="0" w:val="nil"/>
          <w:left w:color="4f81bd"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d3dfee" w:val="clear"/>
      </w:tcPr>
    </w:tblStylePr>
    <w:tblStylePr w:type="band1Horz">
      <w:tblPr/>
      <w:tcPr>
        <w:tcBorders>
          <w:top w:space="0" w:sz="0" w:val="nil"/>
          <w:bottom w:space="0" w:sz="0" w:val="nil"/>
          <w:insideH w:space="0" w:sz="0" w:val="nil"/>
          <w:insideV w:space="0" w:sz="0" w:val="nil"/>
        </w:tcBorders>
        <w:shd w:color="auto" w:fill="d3dfee" w:val="clear"/>
      </w:tcPr>
    </w:tblStylePr>
    <w:tblStylePr w:type="nwCell">
      <w:tblPr/>
      <w:tcPr>
        <w:shd w:color="auto" w:fill="ffffff" w:val="clear"/>
      </w:tcPr>
    </w:tblStylePr>
    <w:tblStylePr w:type="swCell">
      <w:tblPr/>
      <w:tcPr>
        <w:tcBorders>
          <w:top w:space="0" w:sz="0" w:val="nil"/>
        </w:tcBorders>
      </w:tcPr>
    </w:tblStylePr>
  </w:style>
  <w:style w:type="table" w:styleId="MediumList2-Accent2">
    <w:name w:val="Medium List 2 Accent 2"/>
    <w:basedOn w:val="TableNormal"/>
    <w:uiPriority w:val="66"/>
    <w:pPr>
      <w:spacing w:after="0" w:line="240" w:lineRule="auto"/>
    </w:pPr>
    <w:rPr>
      <w:rFonts w:ascii="Calibri" w:eastAsia="MS Gothic" w:hAnsi="Calibri"/>
      <w:color w:val="000000"/>
    </w:rPr>
    <w:tblPr>
      <w:tblStyleRowBandSize w:val="1"/>
      <w:tblStyleColBandSize w:val="1"/>
      <w:tblBorders>
        <w:top w:color="c0504d" w:space="0" w:sz="8" w:val="single"/>
        <w:left w:color="c0504d" w:space="0" w:sz="8" w:val="single"/>
        <w:bottom w:color="c0504d" w:space="0" w:sz="8" w:val="single"/>
        <w:right w:color="c0504d" w:space="0" w:sz="8" w:val="single"/>
      </w:tblBorders>
    </w:tblPr>
    <w:tblStylePr w:type="firstRow">
      <w:rPr>
        <w:sz w:val="24"/>
        <w:szCs w:val="24"/>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tblPr/>
      <w:tcPr>
        <w:tcBorders>
          <w:top w:color="c0504d"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c0504d" w:space="0" w:sz="8" w:val="single"/>
          <w:insideH w:space="0" w:sz="0" w:val="nil"/>
          <w:insideV w:space="0" w:sz="0" w:val="nil"/>
        </w:tcBorders>
        <w:shd w:color="auto" w:fill="ffffff" w:val="clear"/>
      </w:tcPr>
    </w:tblStylePr>
    <w:tblStylePr w:type="lastCol">
      <w:tblPr/>
      <w:tcPr>
        <w:tcBorders>
          <w:top w:space="0" w:sz="0" w:val="nil"/>
          <w:left w:color="c0504d"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efd3d2" w:val="clear"/>
      </w:tcPr>
    </w:tblStylePr>
    <w:tblStylePr w:type="band1Horz">
      <w:tblPr/>
      <w:tcPr>
        <w:tcBorders>
          <w:top w:space="0" w:sz="0" w:val="nil"/>
          <w:bottom w:space="0" w:sz="0" w:val="nil"/>
          <w:insideH w:space="0" w:sz="0" w:val="nil"/>
          <w:insideV w:space="0" w:sz="0" w:val="nil"/>
        </w:tcBorders>
        <w:shd w:color="auto" w:fill="efd3d2" w:val="clear"/>
      </w:tcPr>
    </w:tblStylePr>
    <w:tblStylePr w:type="nwCell">
      <w:tblPr/>
      <w:tcPr>
        <w:shd w:color="auto" w:fill="ffffff" w:val="clear"/>
      </w:tcPr>
    </w:tblStylePr>
    <w:tblStylePr w:type="swCell">
      <w:tblPr/>
      <w:tcPr>
        <w:tcBorders>
          <w:top w:space="0" w:sz="0" w:val="nil"/>
        </w:tcBorders>
      </w:tcPr>
    </w:tblStylePr>
  </w:style>
  <w:style w:type="table" w:styleId="MediumList2-Accent3">
    <w:name w:val="Medium List 2 Accent 3"/>
    <w:basedOn w:val="TableNormal"/>
    <w:uiPriority w:val="66"/>
    <w:pPr>
      <w:spacing w:after="0" w:line="240" w:lineRule="auto"/>
    </w:pPr>
    <w:rPr>
      <w:rFonts w:ascii="Calibri" w:eastAsia="MS Gothic" w:hAnsi="Calibri"/>
      <w:color w:val="000000"/>
    </w:rPr>
    <w:tblPr>
      <w:tblStyleRowBandSize w:val="1"/>
      <w:tblStyleColBandSize w:val="1"/>
      <w:tblBorders>
        <w:top w:color="9bbb59" w:space="0" w:sz="8" w:val="single"/>
        <w:left w:color="9bbb59" w:space="0" w:sz="8" w:val="single"/>
        <w:bottom w:color="9bbb59" w:space="0" w:sz="8" w:val="single"/>
        <w:right w:color="9bbb59" w:space="0" w:sz="8" w:val="single"/>
      </w:tblBorders>
    </w:tblPr>
    <w:tblStylePr w:type="firstRow">
      <w:rPr>
        <w:sz w:val="24"/>
        <w:szCs w:val="24"/>
      </w:rPr>
      <w:tblPr/>
      <w:tcPr>
        <w:tcBorders>
          <w:top w:space="0" w:sz="0" w:val="nil"/>
          <w:left w:space="0" w:sz="0" w:val="nil"/>
          <w:bottom w:color="9bbb59" w:space="0" w:sz="24" w:val="single"/>
          <w:right w:space="0" w:sz="0" w:val="nil"/>
          <w:insideH w:space="0" w:sz="0" w:val="nil"/>
          <w:insideV w:space="0" w:sz="0" w:val="nil"/>
        </w:tcBorders>
        <w:shd w:color="auto" w:fill="ffffff" w:val="clear"/>
      </w:tcPr>
    </w:tblStylePr>
    <w:tblStylePr w:type="lastRow">
      <w:tblPr/>
      <w:tcPr>
        <w:tcBorders>
          <w:top w:color="9bbb59"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9bbb59" w:space="0" w:sz="8" w:val="single"/>
          <w:insideH w:space="0" w:sz="0" w:val="nil"/>
          <w:insideV w:space="0" w:sz="0" w:val="nil"/>
        </w:tcBorders>
        <w:shd w:color="auto" w:fill="ffffff" w:val="clear"/>
      </w:tcPr>
    </w:tblStylePr>
    <w:tblStylePr w:type="lastCol">
      <w:tblPr/>
      <w:tcPr>
        <w:tcBorders>
          <w:top w:space="0" w:sz="0" w:val="nil"/>
          <w:left w:color="9bbb59"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e6eed5" w:val="clear"/>
      </w:tcPr>
    </w:tblStylePr>
    <w:tblStylePr w:type="band1Horz">
      <w:tblPr/>
      <w:tcPr>
        <w:tcBorders>
          <w:top w:space="0" w:sz="0" w:val="nil"/>
          <w:bottom w:space="0" w:sz="0" w:val="nil"/>
          <w:insideH w:space="0" w:sz="0" w:val="nil"/>
          <w:insideV w:space="0" w:sz="0" w:val="nil"/>
        </w:tcBorders>
        <w:shd w:color="auto" w:fill="e6eed5" w:val="clear"/>
      </w:tcPr>
    </w:tblStylePr>
    <w:tblStylePr w:type="nwCell">
      <w:tblPr/>
      <w:tcPr>
        <w:shd w:color="auto" w:fill="ffffff" w:val="clear"/>
      </w:tcPr>
    </w:tblStylePr>
    <w:tblStylePr w:type="swCell">
      <w:tblPr/>
      <w:tcPr>
        <w:tcBorders>
          <w:top w:space="0" w:sz="0" w:val="nil"/>
        </w:tcBorders>
      </w:tcPr>
    </w:tblStylePr>
  </w:style>
  <w:style w:type="table" w:styleId="MediumList2-Accent4">
    <w:name w:val="Medium List 2 Accent 4"/>
    <w:basedOn w:val="TableNormal"/>
    <w:uiPriority w:val="66"/>
    <w:pPr>
      <w:spacing w:after="0" w:line="240" w:lineRule="auto"/>
    </w:pPr>
    <w:rPr>
      <w:rFonts w:ascii="Calibri" w:eastAsia="MS Gothic" w:hAnsi="Calibri"/>
      <w:color w:val="000000"/>
    </w:rPr>
    <w:tblPr>
      <w:tblStyleRowBandSize w:val="1"/>
      <w:tblStyleColBandSize w:val="1"/>
      <w:tblBorders>
        <w:top w:color="8064a2" w:space="0" w:sz="8" w:val="single"/>
        <w:left w:color="8064a2" w:space="0" w:sz="8" w:val="single"/>
        <w:bottom w:color="8064a2" w:space="0" w:sz="8" w:val="single"/>
        <w:right w:color="8064a2" w:space="0" w:sz="8" w:val="single"/>
      </w:tblBorders>
    </w:tblPr>
    <w:tblStylePr w:type="firstRow">
      <w:rPr>
        <w:sz w:val="24"/>
        <w:szCs w:val="24"/>
      </w:rPr>
      <w:tblPr/>
      <w:tcPr>
        <w:tcBorders>
          <w:top w:space="0" w:sz="0" w:val="nil"/>
          <w:left w:space="0" w:sz="0" w:val="nil"/>
          <w:bottom w:color="8064a2" w:space="0" w:sz="24" w:val="single"/>
          <w:right w:space="0" w:sz="0" w:val="nil"/>
          <w:insideH w:space="0" w:sz="0" w:val="nil"/>
          <w:insideV w:space="0" w:sz="0" w:val="nil"/>
        </w:tcBorders>
        <w:shd w:color="auto" w:fill="ffffff" w:val="clear"/>
      </w:tcPr>
    </w:tblStylePr>
    <w:tblStylePr w:type="lastRow">
      <w:tblPr/>
      <w:tcPr>
        <w:tcBorders>
          <w:top w:color="8064a2"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8064a2" w:space="0" w:sz="8" w:val="single"/>
          <w:insideH w:space="0" w:sz="0" w:val="nil"/>
          <w:insideV w:space="0" w:sz="0" w:val="nil"/>
        </w:tcBorders>
        <w:shd w:color="auto" w:fill="ffffff" w:val="clear"/>
      </w:tcPr>
    </w:tblStylePr>
    <w:tblStylePr w:type="lastCol">
      <w:tblPr/>
      <w:tcPr>
        <w:tcBorders>
          <w:top w:space="0" w:sz="0" w:val="nil"/>
          <w:left w:color="8064a2"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dfd8e8" w:val="clear"/>
      </w:tcPr>
    </w:tblStylePr>
    <w:tblStylePr w:type="band1Horz">
      <w:tblPr/>
      <w:tcPr>
        <w:tcBorders>
          <w:top w:space="0" w:sz="0" w:val="nil"/>
          <w:bottom w:space="0" w:sz="0" w:val="nil"/>
          <w:insideH w:space="0" w:sz="0" w:val="nil"/>
          <w:insideV w:space="0" w:sz="0" w:val="nil"/>
        </w:tcBorders>
        <w:shd w:color="auto" w:fill="dfd8e8" w:val="clear"/>
      </w:tcPr>
    </w:tblStylePr>
    <w:tblStylePr w:type="nwCell">
      <w:tblPr/>
      <w:tcPr>
        <w:shd w:color="auto" w:fill="ffffff" w:val="clear"/>
      </w:tcPr>
    </w:tblStylePr>
    <w:tblStylePr w:type="swCell">
      <w:tblPr/>
      <w:tcPr>
        <w:tcBorders>
          <w:top w:space="0" w:sz="0" w:val="nil"/>
        </w:tcBorders>
      </w:tcPr>
    </w:tblStylePr>
  </w:style>
  <w:style w:type="table" w:styleId="MediumList2-Accent5">
    <w:name w:val="Medium List 2 Accent 5"/>
    <w:basedOn w:val="TableNormal"/>
    <w:uiPriority w:val="66"/>
    <w:pPr>
      <w:spacing w:after="0" w:line="240" w:lineRule="auto"/>
    </w:pPr>
    <w:rPr>
      <w:rFonts w:ascii="Calibri" w:eastAsia="MS Gothic" w:hAnsi="Calibri"/>
      <w:color w:val="000000"/>
    </w:rPr>
    <w:tblPr>
      <w:tblStyleRowBandSize w:val="1"/>
      <w:tblStyleColBandSize w:val="1"/>
      <w:tblBorders>
        <w:top w:color="4bacc6" w:space="0" w:sz="8" w:val="single"/>
        <w:left w:color="4bacc6" w:space="0" w:sz="8" w:val="single"/>
        <w:bottom w:color="4bacc6" w:space="0" w:sz="8" w:val="single"/>
        <w:right w:color="4bacc6" w:space="0" w:sz="8" w:val="single"/>
      </w:tblBorders>
    </w:tblPr>
    <w:tblStylePr w:type="firstRow">
      <w:rPr>
        <w:sz w:val="24"/>
        <w:szCs w:val="24"/>
      </w:rPr>
      <w:tblPr/>
      <w:tcPr>
        <w:tcBorders>
          <w:top w:space="0" w:sz="0" w:val="nil"/>
          <w:left w:space="0" w:sz="0" w:val="nil"/>
          <w:bottom w:color="4bacc6" w:space="0" w:sz="24" w:val="single"/>
          <w:right w:space="0" w:sz="0" w:val="nil"/>
          <w:insideH w:space="0" w:sz="0" w:val="nil"/>
          <w:insideV w:space="0" w:sz="0" w:val="nil"/>
        </w:tcBorders>
        <w:shd w:color="auto" w:fill="ffffff" w:val="clear"/>
      </w:tcPr>
    </w:tblStylePr>
    <w:tblStylePr w:type="lastRow">
      <w:tblPr/>
      <w:tcPr>
        <w:tcBorders>
          <w:top w:color="4bacc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4bacc6" w:space="0" w:sz="8" w:val="single"/>
          <w:insideH w:space="0" w:sz="0" w:val="nil"/>
          <w:insideV w:space="0" w:sz="0" w:val="nil"/>
        </w:tcBorders>
        <w:shd w:color="auto" w:fill="ffffff" w:val="clear"/>
      </w:tcPr>
    </w:tblStylePr>
    <w:tblStylePr w:type="lastCol">
      <w:tblPr/>
      <w:tcPr>
        <w:tcBorders>
          <w:top w:space="0" w:sz="0" w:val="nil"/>
          <w:left w:color="4bacc6"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d2eaf1" w:val="clear"/>
      </w:tcPr>
    </w:tblStylePr>
    <w:tblStylePr w:type="band1Horz">
      <w:tblPr/>
      <w:tcPr>
        <w:tcBorders>
          <w:top w:space="0" w:sz="0" w:val="nil"/>
          <w:bottom w:space="0" w:sz="0" w:val="nil"/>
          <w:insideH w:space="0" w:sz="0" w:val="nil"/>
          <w:insideV w:space="0" w:sz="0" w:val="nil"/>
        </w:tcBorders>
        <w:shd w:color="auto" w:fill="d2eaf1" w:val="clear"/>
      </w:tcPr>
    </w:tblStylePr>
    <w:tblStylePr w:type="nwCell">
      <w:tblPr/>
      <w:tcPr>
        <w:shd w:color="auto" w:fill="ffffff" w:val="clear"/>
      </w:tcPr>
    </w:tblStylePr>
    <w:tblStylePr w:type="swCell">
      <w:tblPr/>
      <w:tcPr>
        <w:tcBorders>
          <w:top w:space="0" w:sz="0" w:val="nil"/>
        </w:tcBorders>
      </w:tcPr>
    </w:tblStylePr>
  </w:style>
  <w:style w:type="table" w:styleId="MediumList2-Accent6">
    <w:name w:val="Medium List 2 Accent 6"/>
    <w:basedOn w:val="TableNormal"/>
    <w:uiPriority w:val="66"/>
    <w:pPr>
      <w:spacing w:after="0" w:line="240" w:lineRule="auto"/>
    </w:pPr>
    <w:rPr>
      <w:rFonts w:ascii="Calibri" w:eastAsia="MS Gothic" w:hAnsi="Calibri"/>
      <w:color w:val="000000"/>
    </w:rPr>
    <w:tblPr>
      <w:tblStyleRowBandSize w:val="1"/>
      <w:tblStyleColBandSize w:val="1"/>
      <w:tblBorders>
        <w:top w:color="f79646" w:space="0" w:sz="8" w:val="single"/>
        <w:left w:color="f79646" w:space="0" w:sz="8" w:val="single"/>
        <w:bottom w:color="f79646" w:space="0" w:sz="8" w:val="single"/>
        <w:right w:color="f79646" w:space="0" w:sz="8" w:val="single"/>
      </w:tblBorders>
    </w:tblPr>
    <w:tblStylePr w:type="firstRow">
      <w:rPr>
        <w:sz w:val="24"/>
        <w:szCs w:val="24"/>
      </w:rPr>
      <w:tblPr/>
      <w:tcPr>
        <w:tcBorders>
          <w:top w:space="0" w:sz="0" w:val="nil"/>
          <w:left w:space="0" w:sz="0" w:val="nil"/>
          <w:bottom w:color="f79646" w:space="0" w:sz="24" w:val="single"/>
          <w:right w:space="0" w:sz="0" w:val="nil"/>
          <w:insideH w:space="0" w:sz="0" w:val="nil"/>
          <w:insideV w:space="0" w:sz="0" w:val="nil"/>
        </w:tcBorders>
        <w:shd w:color="auto" w:fill="ffffff" w:val="clear"/>
      </w:tcPr>
    </w:tblStylePr>
    <w:tblStylePr w:type="lastRow">
      <w:tblPr/>
      <w:tcPr>
        <w:tcBorders>
          <w:top w:color="f79646" w:space="0" w:sz="8" w:val="single"/>
          <w:left w:space="0" w:sz="0" w:val="nil"/>
          <w:bottom w:space="0" w:sz="0" w:val="nil"/>
          <w:right w:space="0" w:sz="0" w:val="nil"/>
          <w:insideH w:space="0" w:sz="0" w:val="nil"/>
          <w:insideV w:space="0" w:sz="0" w:val="nil"/>
        </w:tcBorders>
        <w:shd w:color="auto" w:fill="ffffff" w:val="clear"/>
      </w:tcPr>
    </w:tblStylePr>
    <w:tblStylePr w:type="firstCol">
      <w:tblPr/>
      <w:tcPr>
        <w:tcBorders>
          <w:top w:space="0" w:sz="0" w:val="nil"/>
          <w:left w:space="0" w:sz="0" w:val="nil"/>
          <w:bottom w:space="0" w:sz="0" w:val="nil"/>
          <w:right w:color="f79646" w:space="0" w:sz="8" w:val="single"/>
          <w:insideH w:space="0" w:sz="0" w:val="nil"/>
          <w:insideV w:space="0" w:sz="0" w:val="nil"/>
        </w:tcBorders>
        <w:shd w:color="auto" w:fill="ffffff" w:val="clear"/>
      </w:tcPr>
    </w:tblStylePr>
    <w:tblStylePr w:type="lastCol">
      <w:tblPr/>
      <w:tcPr>
        <w:tcBorders>
          <w:top w:space="0" w:sz="0" w:val="nil"/>
          <w:left w:color="f79646" w:space="0" w:sz="8" w:val="single"/>
          <w:bottom w:space="0" w:sz="0" w:val="nil"/>
          <w:right w:space="0" w:sz="0" w:val="nil"/>
          <w:insideH w:space="0" w:sz="0" w:val="nil"/>
          <w:insideV w:space="0" w:sz="0" w:val="nil"/>
        </w:tcBorders>
        <w:shd w:color="auto" w:fill="ffffff" w:val="clear"/>
      </w:tcPr>
    </w:tblStylePr>
    <w:tblStylePr w:type="band1Vert">
      <w:tblPr/>
      <w:tcPr>
        <w:tcBorders>
          <w:left w:space="0" w:sz="0" w:val="nil"/>
          <w:right w:space="0" w:sz="0" w:val="nil"/>
          <w:insideH w:space="0" w:sz="0" w:val="nil"/>
          <w:insideV w:space="0" w:sz="0" w:val="nil"/>
        </w:tcBorders>
        <w:shd w:color="auto" w:fill="fde4d0" w:val="clear"/>
      </w:tcPr>
    </w:tblStylePr>
    <w:tblStylePr w:type="band1Horz">
      <w:tblPr/>
      <w:tcPr>
        <w:tcBorders>
          <w:top w:space="0" w:sz="0" w:val="nil"/>
          <w:bottom w:space="0" w:sz="0" w:val="nil"/>
          <w:insideH w:space="0" w:sz="0" w:val="nil"/>
          <w:insideV w:space="0" w:sz="0" w:val="nil"/>
        </w:tcBorders>
        <w:shd w:color="auto" w:fill="fde4d0" w:val="clear"/>
      </w:tcPr>
    </w:tblStylePr>
    <w:tblStylePr w:type="nwCell">
      <w:tblPr/>
      <w:tcPr>
        <w:shd w:color="auto" w:fill="ffffff" w:val="clear"/>
      </w:tcPr>
    </w:tblStylePr>
    <w:tblStylePr w:type="swCell">
      <w:tblPr/>
      <w:tcPr>
        <w:tcBorders>
          <w:top w:space="0" w:sz="0" w:val="nil"/>
        </w:tcBorders>
      </w:tcPr>
    </w:tblStylePr>
  </w:style>
  <w:style w:type="table" w:styleId="MediumGrid1">
    <w:name w:val="Medium Grid 1"/>
    <w:basedOn w:val="TableNormal"/>
    <w:uiPriority w:val="67"/>
    <w:pPr>
      <w:spacing w:after="0" w:line="240" w:lineRule="auto"/>
    </w:pPr>
    <w:tblPr>
      <w:tblStyleRowBandSize w:val="1"/>
      <w:tblStyleColBandSize w:val="1"/>
      <w:tblBorders>
        <w:top w:color="404040" w:space="0" w:sz="8" w:val="single"/>
        <w:left w:color="404040" w:space="0" w:sz="8" w:val="single"/>
        <w:bottom w:color="404040" w:space="0" w:sz="8" w:val="single"/>
        <w:right w:color="404040" w:space="0" w:sz="8" w:val="single"/>
        <w:insideH w:color="404040" w:space="0" w:sz="8" w:val="single"/>
        <w:insideV w:color="404040" w:space="0" w:sz="8" w:val="single"/>
      </w:tblBorders>
      <w:shd w:color="auto" w:fill="c0c0c0" w:val="clear"/>
    </w:tblPr>
    <w:tcPr>
      <w:shd w:color="auto" w:fill="c0c0c0" w:val="clear"/>
    </w:tcPr>
    <w:tblStylePr w:type="firstRow">
      <w:rPr>
        <w:b w:val="1"/>
        <w:bCs w:val="1"/>
      </w:rPr>
    </w:tblStylePr>
    <w:tblStylePr w:type="lastRow">
      <w:rPr>
        <w:b w:val="1"/>
        <w:bCs w:val="1"/>
      </w:rPr>
      <w:tblPr/>
      <w:tcPr>
        <w:tcBorders>
          <w:top w:color="404040" w:space="0" w:sz="18" w:val="single"/>
        </w:tcBorders>
      </w:tcPr>
    </w:tblStylePr>
    <w:tblStylePr w:type="firstCol">
      <w:rPr>
        <w:b w:val="1"/>
        <w:bCs w:val="1"/>
      </w:rPr>
    </w:tblStylePr>
    <w:tblStylePr w:type="lastCol">
      <w:rPr>
        <w:b w:val="1"/>
        <w:bCs w:val="1"/>
      </w:rPr>
    </w:tblStylePr>
    <w:tblStylePr w:type="band1Vert">
      <w:tblPr/>
      <w:tcPr>
        <w:shd w:color="auto" w:fill="808080" w:val="clear"/>
      </w:tcPr>
    </w:tblStylePr>
    <w:tblStylePr w:type="band1Horz">
      <w:tblPr/>
      <w:tcPr>
        <w:shd w:color="auto" w:fill="808080" w:val="clear"/>
      </w:tcPr>
    </w:tblStylePr>
  </w:style>
  <w:style w:type="table" w:styleId="MediumGrid1-Accent1">
    <w:name w:val="Medium Grid 1 Accent 1"/>
    <w:basedOn w:val="TableNormal"/>
    <w:uiPriority w:val="67"/>
    <w:pPr>
      <w:spacing w:after="0" w:line="240" w:lineRule="auto"/>
    </w:pPr>
    <w:tblPr>
      <w:tblStyleRowBandSize w:val="1"/>
      <w:tblStyleColBandSize w:val="1"/>
      <w:tblBorders>
        <w:top w:color="7ba0cd" w:space="0" w:sz="8" w:val="single"/>
        <w:left w:color="7ba0cd" w:space="0" w:sz="8" w:val="single"/>
        <w:bottom w:color="7ba0cd" w:space="0" w:sz="8" w:val="single"/>
        <w:right w:color="7ba0cd" w:space="0" w:sz="8" w:val="single"/>
        <w:insideH w:color="7ba0cd" w:space="0" w:sz="8" w:val="single"/>
        <w:insideV w:color="7ba0cd" w:space="0" w:sz="8" w:val="single"/>
      </w:tblBorders>
      <w:shd w:color="auto" w:fill="d3dfee" w:val="clear"/>
    </w:tblPr>
    <w:tcPr>
      <w:shd w:color="auto" w:fill="d3dfee" w:val="clear"/>
    </w:tcPr>
    <w:tblStylePr w:type="firstRow">
      <w:rPr>
        <w:b w:val="1"/>
        <w:bCs w:val="1"/>
      </w:rPr>
    </w:tblStylePr>
    <w:tblStylePr w:type="lastRow">
      <w:rPr>
        <w:b w:val="1"/>
        <w:bCs w:val="1"/>
      </w:rPr>
      <w:tblPr/>
      <w:tcPr>
        <w:tcBorders>
          <w:top w:color="7ba0cd" w:space="0" w:sz="18" w:val="single"/>
        </w:tcBorders>
      </w:tcPr>
    </w:tblStylePr>
    <w:tblStylePr w:type="firstCol">
      <w:rPr>
        <w:b w:val="1"/>
        <w:bCs w:val="1"/>
      </w:rPr>
    </w:tblStylePr>
    <w:tblStylePr w:type="lastCol">
      <w:rPr>
        <w:b w:val="1"/>
        <w:bCs w:val="1"/>
      </w:rPr>
    </w:tblStylePr>
    <w:tblStylePr w:type="band1Vert">
      <w:tblPr/>
      <w:tcPr>
        <w:shd w:color="auto" w:fill="a7bfde" w:val="clear"/>
      </w:tcPr>
    </w:tblStylePr>
    <w:tblStylePr w:type="band1Horz">
      <w:tblPr/>
      <w:tcPr>
        <w:shd w:color="auto" w:fill="a7bfde" w:val="clear"/>
      </w:tcPr>
    </w:tblStylePr>
  </w:style>
  <w:style w:type="table" w:styleId="MediumGrid1-Accent2">
    <w:name w:val="Medium Grid 1 Accent 2"/>
    <w:basedOn w:val="TableNormal"/>
    <w:uiPriority w:val="67"/>
    <w:pPr>
      <w:spacing w:after="0" w:line="240" w:lineRule="auto"/>
    </w:pPr>
    <w:tblPr>
      <w:tblStyleRowBandSize w:val="1"/>
      <w:tblStyleColBandSize w:val="1"/>
      <w:tblBorders>
        <w:top w:color="cf7b79" w:space="0" w:sz="8" w:val="single"/>
        <w:left w:color="cf7b79" w:space="0" w:sz="8" w:val="single"/>
        <w:bottom w:color="cf7b79" w:space="0" w:sz="8" w:val="single"/>
        <w:right w:color="cf7b79" w:space="0" w:sz="8" w:val="single"/>
        <w:insideH w:color="cf7b79" w:space="0" w:sz="8" w:val="single"/>
        <w:insideV w:color="cf7b79" w:space="0" w:sz="8" w:val="single"/>
      </w:tblBorders>
      <w:shd w:color="auto" w:fill="efd3d2" w:val="clear"/>
    </w:tblPr>
    <w:tcPr>
      <w:shd w:color="auto" w:fill="efd3d2" w:val="clear"/>
    </w:tcPr>
    <w:tblStylePr w:type="firstRow">
      <w:rPr>
        <w:b w:val="1"/>
        <w:bCs w:val="1"/>
      </w:rPr>
    </w:tblStylePr>
    <w:tblStylePr w:type="lastRow">
      <w:rPr>
        <w:b w:val="1"/>
        <w:bCs w:val="1"/>
      </w:rPr>
      <w:tblPr/>
      <w:tcPr>
        <w:tcBorders>
          <w:top w:color="cf7b79" w:space="0" w:sz="18" w:val="single"/>
        </w:tcBorders>
      </w:tcPr>
    </w:tblStylePr>
    <w:tblStylePr w:type="firstCol">
      <w:rPr>
        <w:b w:val="1"/>
        <w:bCs w:val="1"/>
      </w:rPr>
    </w:tblStylePr>
    <w:tblStylePr w:type="lastCol">
      <w:rPr>
        <w:b w:val="1"/>
        <w:bCs w:val="1"/>
      </w:rPr>
    </w:tblStylePr>
    <w:tblStylePr w:type="band1Vert">
      <w:tblPr/>
      <w:tcPr>
        <w:shd w:color="auto" w:fill="dfa7a6" w:val="clear"/>
      </w:tcPr>
    </w:tblStylePr>
    <w:tblStylePr w:type="band1Horz">
      <w:tblPr/>
      <w:tcPr>
        <w:shd w:color="auto" w:fill="dfa7a6" w:val="clear"/>
      </w:tcPr>
    </w:tblStylePr>
  </w:style>
  <w:style w:type="table" w:styleId="MediumGrid1-Accent3">
    <w:name w:val="Medium Grid 1 Accent 3"/>
    <w:basedOn w:val="TableNormal"/>
    <w:uiPriority w:val="67"/>
    <w:pPr>
      <w:spacing w:after="0" w:line="240" w:lineRule="auto"/>
    </w:pPr>
    <w:tblPr>
      <w:tblStyleRowBandSize w:val="1"/>
      <w:tblStyleColBandSize w:val="1"/>
      <w:tblBorders>
        <w:top w:color="b3cc82" w:space="0" w:sz="8" w:val="single"/>
        <w:left w:color="b3cc82" w:space="0" w:sz="8" w:val="single"/>
        <w:bottom w:color="b3cc82" w:space="0" w:sz="8" w:val="single"/>
        <w:right w:color="b3cc82" w:space="0" w:sz="8" w:val="single"/>
        <w:insideH w:color="b3cc82" w:space="0" w:sz="8" w:val="single"/>
        <w:insideV w:color="b3cc82" w:space="0" w:sz="8" w:val="single"/>
      </w:tblBorders>
      <w:shd w:color="auto" w:fill="e6eed5" w:val="clear"/>
    </w:tblPr>
    <w:tcPr>
      <w:shd w:color="auto" w:fill="e6eed5" w:val="clear"/>
    </w:tcPr>
    <w:tblStylePr w:type="firstRow">
      <w:rPr>
        <w:b w:val="1"/>
        <w:bCs w:val="1"/>
      </w:rPr>
    </w:tblStylePr>
    <w:tblStylePr w:type="lastRow">
      <w:rPr>
        <w:b w:val="1"/>
        <w:bCs w:val="1"/>
      </w:rPr>
      <w:tblPr/>
      <w:tcPr>
        <w:tcBorders>
          <w:top w:color="b3cc82" w:space="0" w:sz="18" w:val="single"/>
        </w:tcBorders>
      </w:tcPr>
    </w:tblStylePr>
    <w:tblStylePr w:type="firstCol">
      <w:rPr>
        <w:b w:val="1"/>
        <w:bCs w:val="1"/>
      </w:rPr>
    </w:tblStylePr>
    <w:tblStylePr w:type="lastCol">
      <w:rPr>
        <w:b w:val="1"/>
        <w:bCs w:val="1"/>
      </w:rPr>
    </w:tblStylePr>
    <w:tblStylePr w:type="band1Vert">
      <w:tblPr/>
      <w:tcPr>
        <w:shd w:color="auto" w:fill="cdddac" w:val="clear"/>
      </w:tcPr>
    </w:tblStylePr>
    <w:tblStylePr w:type="band1Horz">
      <w:tblPr/>
      <w:tcPr>
        <w:shd w:color="auto" w:fill="cdddac" w:val="clear"/>
      </w:tcPr>
    </w:tblStylePr>
  </w:style>
  <w:style w:type="table" w:styleId="MediumGrid1-Accent4">
    <w:name w:val="Medium Grid 1 Accent 4"/>
    <w:basedOn w:val="TableNormal"/>
    <w:uiPriority w:val="67"/>
    <w:pPr>
      <w:spacing w:after="0" w:line="240" w:lineRule="auto"/>
    </w:pPr>
    <w:tblPr>
      <w:tblStyleRowBandSize w:val="1"/>
      <w:tblStyleColBandSize w:val="1"/>
      <w:tblBorders>
        <w:top w:color="9f8ab9" w:space="0" w:sz="8" w:val="single"/>
        <w:left w:color="9f8ab9" w:space="0" w:sz="8" w:val="single"/>
        <w:bottom w:color="9f8ab9" w:space="0" w:sz="8" w:val="single"/>
        <w:right w:color="9f8ab9" w:space="0" w:sz="8" w:val="single"/>
        <w:insideH w:color="9f8ab9" w:space="0" w:sz="8" w:val="single"/>
        <w:insideV w:color="9f8ab9" w:space="0" w:sz="8" w:val="single"/>
      </w:tblBorders>
      <w:shd w:color="auto" w:fill="dfd8e8" w:val="clear"/>
    </w:tblPr>
    <w:tcPr>
      <w:shd w:color="auto" w:fill="dfd8e8" w:val="clear"/>
    </w:tcPr>
    <w:tblStylePr w:type="firstRow">
      <w:rPr>
        <w:b w:val="1"/>
        <w:bCs w:val="1"/>
      </w:rPr>
    </w:tblStylePr>
    <w:tblStylePr w:type="lastRow">
      <w:rPr>
        <w:b w:val="1"/>
        <w:bCs w:val="1"/>
      </w:rPr>
      <w:tblPr/>
      <w:tcPr>
        <w:tcBorders>
          <w:top w:color="9f8ab9" w:space="0" w:sz="18" w:val="single"/>
        </w:tcBorders>
      </w:tcPr>
    </w:tblStylePr>
    <w:tblStylePr w:type="firstCol">
      <w:rPr>
        <w:b w:val="1"/>
        <w:bCs w:val="1"/>
      </w:rPr>
    </w:tblStylePr>
    <w:tblStylePr w:type="lastCol">
      <w:rPr>
        <w:b w:val="1"/>
        <w:bCs w:val="1"/>
      </w:rPr>
    </w:tblStylePr>
    <w:tblStylePr w:type="band1Vert">
      <w:tblPr/>
      <w:tcPr>
        <w:shd w:color="auto" w:fill="bfb1d0" w:val="clear"/>
      </w:tcPr>
    </w:tblStylePr>
    <w:tblStylePr w:type="band1Horz">
      <w:tblPr/>
      <w:tcPr>
        <w:shd w:color="auto" w:fill="bfb1d0" w:val="clear"/>
      </w:tcPr>
    </w:tblStylePr>
  </w:style>
  <w:style w:type="table" w:styleId="MediumGrid1-Accent5">
    <w:name w:val="Medium Grid 1 Accent 5"/>
    <w:basedOn w:val="TableNormal"/>
    <w:uiPriority w:val="67"/>
    <w:pPr>
      <w:spacing w:after="0" w:line="240" w:lineRule="auto"/>
    </w:pPr>
    <w:tblPr>
      <w:tblStyleRowBandSize w:val="1"/>
      <w:tblStyleColBandSize w:val="1"/>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shd w:color="auto" w:fill="d2eaf1" w:val="clear"/>
    </w:tblPr>
    <w:tcPr>
      <w:shd w:color="auto" w:fill="d2eaf1" w:val="clear"/>
    </w:tcPr>
    <w:tblStylePr w:type="firstRow">
      <w:rPr>
        <w:b w:val="1"/>
        <w:bCs w:val="1"/>
      </w:rPr>
    </w:tblStylePr>
    <w:tblStylePr w:type="lastRow">
      <w:rPr>
        <w:b w:val="1"/>
        <w:bCs w:val="1"/>
      </w:rPr>
      <w:tblPr/>
      <w:tcPr>
        <w:tcBorders>
          <w:top w:color="78c0d4" w:space="0" w:sz="18" w:val="single"/>
        </w:tcBorders>
      </w:tcPr>
    </w:tblStylePr>
    <w:tblStylePr w:type="firstCol">
      <w:rPr>
        <w:b w:val="1"/>
        <w:bCs w:val="1"/>
      </w:rPr>
    </w:tblStylePr>
    <w:tblStylePr w:type="lastCol">
      <w:rPr>
        <w:b w:val="1"/>
        <w:bCs w:val="1"/>
      </w:rPr>
    </w:tblStylePr>
    <w:tblStylePr w:type="band1Vert">
      <w:tblPr/>
      <w:tcPr>
        <w:shd w:color="auto" w:fill="a5d5e2" w:val="clear"/>
      </w:tcPr>
    </w:tblStylePr>
    <w:tblStylePr w:type="band1Horz">
      <w:tblPr/>
      <w:tcPr>
        <w:shd w:color="auto" w:fill="a5d5e2" w:val="clear"/>
      </w:tcPr>
    </w:tblStylePr>
  </w:style>
  <w:style w:type="table" w:styleId="MediumGrid1-Accent6">
    <w:name w:val="Medium Grid 1 Accent 6"/>
    <w:basedOn w:val="TableNormal"/>
    <w:uiPriority w:val="67"/>
    <w:pPr>
      <w:spacing w:after="0" w:line="240" w:lineRule="auto"/>
    </w:pPr>
    <w:tblPr>
      <w:tblStyleRowBandSize w:val="1"/>
      <w:tblStyleColBandSize w:val="1"/>
      <w:tblBorders>
        <w:top w:color="f9b074" w:space="0" w:sz="8" w:val="single"/>
        <w:left w:color="f9b074" w:space="0" w:sz="8" w:val="single"/>
        <w:bottom w:color="f9b074" w:space="0" w:sz="8" w:val="single"/>
        <w:right w:color="f9b074" w:space="0" w:sz="8" w:val="single"/>
        <w:insideH w:color="f9b074" w:space="0" w:sz="8" w:val="single"/>
        <w:insideV w:color="f9b074" w:space="0" w:sz="8" w:val="single"/>
      </w:tblBorders>
      <w:shd w:color="auto" w:fill="fde4d0" w:val="clear"/>
    </w:tblPr>
    <w:tcPr>
      <w:shd w:color="auto" w:fill="fde4d0" w:val="clear"/>
    </w:tcPr>
    <w:tblStylePr w:type="firstRow">
      <w:rPr>
        <w:b w:val="1"/>
        <w:bCs w:val="1"/>
      </w:rPr>
    </w:tblStylePr>
    <w:tblStylePr w:type="lastRow">
      <w:rPr>
        <w:b w:val="1"/>
        <w:bCs w:val="1"/>
      </w:rPr>
      <w:tblPr/>
      <w:tcPr>
        <w:tcBorders>
          <w:top w:color="f9b074" w:space="0" w:sz="18" w:val="single"/>
        </w:tcBorders>
      </w:tcPr>
    </w:tblStylePr>
    <w:tblStylePr w:type="firstCol">
      <w:rPr>
        <w:b w:val="1"/>
        <w:bCs w:val="1"/>
      </w:rPr>
    </w:tblStylePr>
    <w:tblStylePr w:type="lastCol">
      <w:rPr>
        <w:b w:val="1"/>
        <w:bCs w:val="1"/>
      </w:rPr>
    </w:tblStylePr>
    <w:tblStylePr w:type="band1Vert">
      <w:tblPr/>
      <w:tcPr>
        <w:shd w:color="auto" w:fill="fbcaa2" w:val="clear"/>
      </w:tcPr>
    </w:tblStylePr>
    <w:tblStylePr w:type="band1Horz">
      <w:tblPr/>
      <w:tcPr>
        <w:shd w:color="auto" w:fill="fbcaa2" w:val="clear"/>
      </w:tcPr>
    </w:tblStylePr>
  </w:style>
  <w:style w:type="table" w:styleId="MediumGrid2">
    <w:name w:val="Medium Grid 2"/>
    <w:basedOn w:val="TableNormal"/>
    <w:uiPriority w:val="68"/>
    <w:pPr>
      <w:spacing w:after="0" w:line="240" w:lineRule="auto"/>
    </w:pPr>
    <w:rPr>
      <w:rFonts w:ascii="Calibri" w:eastAsia="MS Gothic" w:hAnsi="Calibri"/>
      <w:color w:val="000000"/>
    </w:rPr>
    <w:tblPr>
      <w:tblStyleRowBandSize w:val="1"/>
      <w:tblStyleColBandSize w:val="1"/>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shd w:color="auto" w:fill="c0c0c0" w:val="clear"/>
    </w:tblPr>
    <w:tcPr>
      <w:shd w:color="auto" w:fill="c0c0c0" w:val="clear"/>
    </w:tcPr>
    <w:tblStylePr w:type="firstRow">
      <w:rPr>
        <w:b w:val="1"/>
        <w:bCs w:val="1"/>
        <w:color w:val="000000"/>
      </w:rPr>
      <w:tblPr/>
      <w:tcPr>
        <w:shd w:color="auto" w:fill="e6e6e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cccccc" w:val="clear"/>
      </w:tcPr>
    </w:tblStylePr>
    <w:tblStylePr w:type="band1Vert">
      <w:tblPr/>
      <w:tcPr>
        <w:shd w:color="auto" w:fill="808080" w:val="clear"/>
      </w:tcPr>
    </w:tblStylePr>
    <w:tblStylePr w:type="band1Horz">
      <w:tblPr/>
      <w:tcPr>
        <w:tcBorders>
          <w:insideH w:color="000000" w:space="0" w:sz="6" w:val="single"/>
          <w:insideV w:color="000000" w:space="0" w:sz="6" w:val="single"/>
        </w:tcBorders>
        <w:shd w:color="auto" w:fill="808080" w:val="clear"/>
      </w:tcPr>
    </w:tblStylePr>
    <w:tblStylePr w:type="nwCell">
      <w:tblPr/>
      <w:tcPr>
        <w:shd w:color="auto" w:fill="ffffff" w:val="clear"/>
      </w:tcPr>
    </w:tblStylePr>
  </w:style>
  <w:style w:type="table" w:styleId="MediumGrid2-Accent1">
    <w:name w:val="Medium Grid 2 Accent 1"/>
    <w:basedOn w:val="TableNormal"/>
    <w:uiPriority w:val="68"/>
    <w:pPr>
      <w:spacing w:after="0" w:line="240" w:lineRule="auto"/>
    </w:pPr>
    <w:rPr>
      <w:rFonts w:ascii="Calibri" w:eastAsia="MS Gothic" w:hAnsi="Calibri"/>
      <w:color w:val="000000"/>
    </w:r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shd w:color="auto" w:fill="d3dfee" w:val="clear"/>
    </w:tblPr>
    <w:tcPr>
      <w:shd w:color="auto" w:fill="d3dfee" w:val="clear"/>
    </w:tcPr>
    <w:tblStylePr w:type="firstRow">
      <w:rPr>
        <w:b w:val="1"/>
        <w:bCs w:val="1"/>
        <w:color w:val="000000"/>
      </w:rPr>
      <w:tblPr/>
      <w:tcPr>
        <w:shd w:color="auto" w:fill="edf2f8"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be5f1" w:val="clear"/>
      </w:tcPr>
    </w:tblStylePr>
    <w:tblStylePr w:type="band1Vert">
      <w:tblPr/>
      <w:tcPr>
        <w:shd w:color="auto" w:fill="a7bfde" w:val="clear"/>
      </w:tcPr>
    </w:tblStylePr>
    <w:tblStylePr w:type="band1Horz">
      <w:tblPr/>
      <w:tcPr>
        <w:tcBorders>
          <w:insideH w:color="4f81bd" w:space="0" w:sz="6" w:val="single"/>
          <w:insideV w:color="4f81bd" w:space="0" w:sz="6" w:val="single"/>
        </w:tcBorders>
        <w:shd w:color="auto" w:fill="a7bfde" w:val="clear"/>
      </w:tcPr>
    </w:tblStylePr>
    <w:tblStylePr w:type="nwCell">
      <w:tblPr/>
      <w:tcPr>
        <w:shd w:color="auto" w:fill="ffffff" w:val="clear"/>
      </w:tcPr>
    </w:tblStylePr>
  </w:style>
  <w:style w:type="table" w:styleId="MediumGrid2-Accent2">
    <w:name w:val="Medium Grid 2 Accent 2"/>
    <w:basedOn w:val="TableNormal"/>
    <w:uiPriority w:val="68"/>
    <w:pPr>
      <w:spacing w:after="0" w:line="240" w:lineRule="auto"/>
    </w:pPr>
    <w:rPr>
      <w:rFonts w:ascii="Calibri" w:eastAsia="MS Gothic" w:hAnsi="Calibri"/>
      <w:color w:val="000000"/>
    </w:rPr>
    <w:tblPr>
      <w:tblStyleRowBandSize w:val="1"/>
      <w:tblStyleColBandSize w:val="1"/>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shd w:color="auto" w:fill="efd3d2" w:val="clear"/>
    </w:tblPr>
    <w:tcPr>
      <w:shd w:color="auto" w:fill="efd3d2" w:val="clear"/>
    </w:tcPr>
    <w:tblStylePr w:type="firstRow">
      <w:rPr>
        <w:b w:val="1"/>
        <w:bCs w:val="1"/>
        <w:color w:val="000000"/>
      </w:rPr>
      <w:tblPr/>
      <w:tcPr>
        <w:shd w:color="auto" w:fill="f8eded"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2dbdb" w:val="clear"/>
      </w:tcPr>
    </w:tblStylePr>
    <w:tblStylePr w:type="band1Vert">
      <w:tblPr/>
      <w:tcPr>
        <w:shd w:color="auto" w:fill="dfa7a6" w:val="clear"/>
      </w:tcPr>
    </w:tblStylePr>
    <w:tblStylePr w:type="band1Horz">
      <w:tblPr/>
      <w:tcPr>
        <w:tcBorders>
          <w:insideH w:color="c0504d" w:space="0" w:sz="6" w:val="single"/>
          <w:insideV w:color="c0504d" w:space="0" w:sz="6" w:val="single"/>
        </w:tcBorders>
        <w:shd w:color="auto" w:fill="dfa7a6" w:val="clear"/>
      </w:tcPr>
    </w:tblStylePr>
    <w:tblStylePr w:type="nwCell">
      <w:tblPr/>
      <w:tcPr>
        <w:shd w:color="auto" w:fill="ffffff" w:val="clear"/>
      </w:tcPr>
    </w:tblStylePr>
  </w:style>
  <w:style w:type="table" w:styleId="MediumGrid2-Accent3">
    <w:name w:val="Medium Grid 2 Accent 3"/>
    <w:basedOn w:val="TableNormal"/>
    <w:uiPriority w:val="68"/>
    <w:pPr>
      <w:spacing w:after="0" w:line="240" w:lineRule="auto"/>
    </w:pPr>
    <w:rPr>
      <w:rFonts w:ascii="Calibri" w:eastAsia="MS Gothic" w:hAnsi="Calibri"/>
      <w:color w:val="000000"/>
    </w:rPr>
    <w:tblPr>
      <w:tblStyleRowBandSize w:val="1"/>
      <w:tblStyleColBandSize w:val="1"/>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shd w:color="auto" w:fill="e6eed5" w:val="clear"/>
    </w:tblPr>
    <w:tcPr>
      <w:shd w:color="auto" w:fill="e6eed5" w:val="clear"/>
    </w:tcPr>
    <w:tblStylePr w:type="firstRow">
      <w:rPr>
        <w:b w:val="1"/>
        <w:bCs w:val="1"/>
        <w:color w:val="000000"/>
      </w:rPr>
      <w:tblPr/>
      <w:tcPr>
        <w:shd w:color="auto" w:fill="f5f8ee"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af1dd" w:val="clear"/>
      </w:tcPr>
    </w:tblStylePr>
    <w:tblStylePr w:type="band1Vert">
      <w:tblPr/>
      <w:tcPr>
        <w:shd w:color="auto" w:fill="cdddac" w:val="clear"/>
      </w:tcPr>
    </w:tblStylePr>
    <w:tblStylePr w:type="band1Horz">
      <w:tblPr/>
      <w:tcPr>
        <w:tcBorders>
          <w:insideH w:color="9bbb59" w:space="0" w:sz="6" w:val="single"/>
          <w:insideV w:color="9bbb59" w:space="0" w:sz="6" w:val="single"/>
        </w:tcBorders>
        <w:shd w:color="auto" w:fill="cdddac" w:val="clear"/>
      </w:tcPr>
    </w:tblStylePr>
    <w:tblStylePr w:type="nwCell">
      <w:tblPr/>
      <w:tcPr>
        <w:shd w:color="auto" w:fill="ffffff" w:val="clear"/>
      </w:tcPr>
    </w:tblStylePr>
  </w:style>
  <w:style w:type="table" w:styleId="MediumGrid2-Accent4">
    <w:name w:val="Medium Grid 2 Accent 4"/>
    <w:basedOn w:val="TableNormal"/>
    <w:uiPriority w:val="68"/>
    <w:pPr>
      <w:spacing w:after="0" w:line="240" w:lineRule="auto"/>
    </w:pPr>
    <w:rPr>
      <w:rFonts w:ascii="Calibri" w:eastAsia="MS Gothic" w:hAnsi="Calibri"/>
      <w:color w:val="000000"/>
    </w:rPr>
    <w:tblPr>
      <w:tblStyleRowBandSize w:val="1"/>
      <w:tblStyleColBandSize w:val="1"/>
      <w:tblBorders>
        <w:top w:color="8064a2" w:space="0" w:sz="8" w:val="single"/>
        <w:left w:color="8064a2" w:space="0" w:sz="8" w:val="single"/>
        <w:bottom w:color="8064a2" w:space="0" w:sz="8" w:val="single"/>
        <w:right w:color="8064a2" w:space="0" w:sz="8" w:val="single"/>
        <w:insideH w:color="8064a2" w:space="0" w:sz="8" w:val="single"/>
        <w:insideV w:color="8064a2" w:space="0" w:sz="8" w:val="single"/>
      </w:tblBorders>
      <w:shd w:color="auto" w:fill="dfd8e8" w:val="clear"/>
    </w:tblPr>
    <w:tcPr>
      <w:shd w:color="auto" w:fill="dfd8e8" w:val="clear"/>
    </w:tcPr>
    <w:tblStylePr w:type="firstRow">
      <w:rPr>
        <w:b w:val="1"/>
        <w:bCs w:val="1"/>
        <w:color w:val="000000"/>
      </w:rPr>
      <w:tblPr/>
      <w:tcPr>
        <w:shd w:color="auto" w:fill="f2eff6"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e5dfec" w:val="clear"/>
      </w:tcPr>
    </w:tblStylePr>
    <w:tblStylePr w:type="band1Vert">
      <w:tblPr/>
      <w:tcPr>
        <w:shd w:color="auto" w:fill="bfb1d0" w:val="clear"/>
      </w:tcPr>
    </w:tblStylePr>
    <w:tblStylePr w:type="band1Horz">
      <w:tblPr/>
      <w:tcPr>
        <w:tcBorders>
          <w:insideH w:color="8064a2" w:space="0" w:sz="6" w:val="single"/>
          <w:insideV w:color="8064a2" w:space="0" w:sz="6" w:val="single"/>
        </w:tcBorders>
        <w:shd w:color="auto" w:fill="bfb1d0" w:val="clear"/>
      </w:tcPr>
    </w:tblStylePr>
    <w:tblStylePr w:type="nwCell">
      <w:tblPr/>
      <w:tcPr>
        <w:shd w:color="auto" w:fill="ffffff" w:val="clear"/>
      </w:tcPr>
    </w:tblStylePr>
  </w:style>
  <w:style w:type="table" w:styleId="MediumGrid2-Accent5">
    <w:name w:val="Medium Grid 2 Accent 5"/>
    <w:basedOn w:val="TableNormal"/>
    <w:uiPriority w:val="68"/>
    <w:pPr>
      <w:spacing w:after="0" w:line="240" w:lineRule="auto"/>
    </w:pPr>
    <w:rPr>
      <w:rFonts w:ascii="Calibri" w:eastAsia="MS Gothic" w:hAnsi="Calibri"/>
      <w:color w:val="000000"/>
    </w:rPr>
    <w:tblPr>
      <w:tblStyleRowBandSize w:val="1"/>
      <w:tblStyleColBandSize w:val="1"/>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shd w:color="auto" w:fill="d2eaf1" w:val="clear"/>
    </w:tblPr>
    <w:tcPr>
      <w:shd w:color="auto" w:fill="d2eaf1" w:val="clear"/>
    </w:tcPr>
    <w:tblStylePr w:type="firstRow">
      <w:rPr>
        <w:b w:val="1"/>
        <w:bCs w:val="1"/>
        <w:color w:val="000000"/>
      </w:rPr>
      <w:tblPr/>
      <w:tcPr>
        <w:shd w:color="auto" w:fill="edf6f9"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daeef3" w:val="clear"/>
      </w:tcPr>
    </w:tblStylePr>
    <w:tblStylePr w:type="band1Vert">
      <w:tblPr/>
      <w:tcPr>
        <w:shd w:color="auto" w:fill="a5d5e2" w:val="clear"/>
      </w:tcPr>
    </w:tblStylePr>
    <w:tblStylePr w:type="band1Horz">
      <w:tblPr/>
      <w:tcPr>
        <w:tcBorders>
          <w:insideH w:color="4bacc6" w:space="0" w:sz="6" w:val="single"/>
          <w:insideV w:color="4bacc6" w:space="0" w:sz="6" w:val="single"/>
        </w:tcBorders>
        <w:shd w:color="auto" w:fill="a5d5e2" w:val="clear"/>
      </w:tcPr>
    </w:tblStylePr>
    <w:tblStylePr w:type="nwCell">
      <w:tblPr/>
      <w:tcPr>
        <w:shd w:color="auto" w:fill="ffffff" w:val="clear"/>
      </w:tcPr>
    </w:tblStylePr>
  </w:style>
  <w:style w:type="table" w:styleId="MediumGrid2-Accent6">
    <w:name w:val="Medium Grid 2 Accent 6"/>
    <w:basedOn w:val="TableNormal"/>
    <w:uiPriority w:val="68"/>
    <w:pPr>
      <w:spacing w:after="0" w:line="240" w:lineRule="auto"/>
    </w:pPr>
    <w:rPr>
      <w:rFonts w:ascii="Calibri" w:eastAsia="MS Gothic" w:hAnsi="Calibri"/>
      <w:color w:val="000000"/>
    </w:rPr>
    <w:tblPr>
      <w:tblStyleRowBandSize w:val="1"/>
      <w:tblStyleColBandSize w:val="1"/>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shd w:color="auto" w:fill="fde4d0" w:val="clear"/>
    </w:tblPr>
    <w:tcPr>
      <w:shd w:color="auto" w:fill="fde4d0" w:val="clear"/>
    </w:tcPr>
    <w:tblStylePr w:type="firstRow">
      <w:rPr>
        <w:b w:val="1"/>
        <w:bCs w:val="1"/>
        <w:color w:val="000000"/>
      </w:rPr>
      <w:tblPr/>
      <w:tcPr>
        <w:shd w:color="auto" w:fill="fef4ec" w:val="clear"/>
      </w:tcPr>
    </w:tblStylePr>
    <w:tblStylePr w:type="lastRow">
      <w:rPr>
        <w:b w:val="1"/>
        <w:bCs w:val="1"/>
        <w:color w:val="000000"/>
      </w:rPr>
      <w:tblPr/>
      <w:tcPr>
        <w:tcBorders>
          <w:top w:color="000000" w:space="0" w:sz="12" w:val="single"/>
          <w:left w:space="0" w:sz="0" w:val="nil"/>
          <w:bottom w:space="0" w:sz="0" w:val="nil"/>
          <w:right w:space="0" w:sz="0" w:val="nil"/>
          <w:insideH w:space="0" w:sz="0" w:val="nil"/>
          <w:insideV w:space="0" w:sz="0" w:val="nil"/>
        </w:tcBorders>
        <w:shd w:color="auto" w:fill="ffffff" w:val="clear"/>
      </w:tcPr>
    </w:tblStylePr>
    <w:tblStylePr w:type="firstCol">
      <w:rPr>
        <w:b w:val="1"/>
        <w:bCs w:val="1"/>
        <w:color w:val="000000"/>
      </w:rPr>
      <w:tblPr/>
      <w:tcPr>
        <w:tcBorders>
          <w:top w:space="0" w:sz="0" w:val="nil"/>
          <w:left w:space="0" w:sz="0" w:val="nil"/>
          <w:bottom w:space="0" w:sz="0" w:val="nil"/>
          <w:right w:space="0" w:sz="0" w:val="nil"/>
          <w:insideH w:space="0" w:sz="0" w:val="nil"/>
          <w:insideV w:space="0" w:sz="0" w:val="nil"/>
        </w:tcBorders>
        <w:shd w:color="auto" w:fill="ffffff" w:val="clear"/>
      </w:tcPr>
    </w:tblStylePr>
    <w:tblStylePr w:type="lastCol">
      <w:rPr>
        <w:b w:val="0"/>
        <w:bCs w:val="0"/>
        <w:color w:val="000000"/>
      </w:rPr>
      <w:tblPr/>
      <w:tcPr>
        <w:tcBorders>
          <w:top w:space="0" w:sz="0" w:val="nil"/>
          <w:left w:space="0" w:sz="0" w:val="nil"/>
          <w:bottom w:space="0" w:sz="0" w:val="nil"/>
          <w:right w:space="0" w:sz="0" w:val="nil"/>
          <w:insideH w:space="0" w:sz="0" w:val="nil"/>
          <w:insideV w:space="0" w:sz="0" w:val="nil"/>
        </w:tcBorders>
        <w:shd w:color="auto" w:fill="fde9d9" w:val="clear"/>
      </w:tcPr>
    </w:tblStylePr>
    <w:tblStylePr w:type="band1Vert">
      <w:tblPr/>
      <w:tcPr>
        <w:shd w:color="auto" w:fill="fbcaa2" w:val="clear"/>
      </w:tcPr>
    </w:tblStylePr>
    <w:tblStylePr w:type="band1Horz">
      <w:tblPr/>
      <w:tcPr>
        <w:tcBorders>
          <w:insideH w:color="f79646" w:space="0" w:sz="6" w:val="single"/>
          <w:insideV w:color="f79646" w:space="0" w:sz="6" w:val="single"/>
        </w:tcBorders>
        <w:shd w:color="auto" w:fill="fbcaa2" w:val="clear"/>
      </w:tcPr>
    </w:tblStylePr>
    <w:tblStylePr w:type="nwCell">
      <w:tblPr/>
      <w:tcPr>
        <w:shd w:color="auto" w:fill="ffffff" w:val="clear"/>
      </w:tcPr>
    </w:tblStylePr>
  </w:style>
  <w:style w:type="table" w:styleId="MediumGrid3">
    <w:name w:val="Medium Grid 3"/>
    <w:basedOn w:val="TableNormal"/>
    <w:uiPriority w:val="69"/>
    <w:pPr>
      <w:spacing w:after="0" w:line="240" w:lineRule="auto"/>
    </w:pPr>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shd w:color="auto" w:fill="c0c0c0" w:val="clear"/>
    </w:tblPr>
    <w:tcPr>
      <w:shd w:color="auto" w:fill="c0c0c0"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000000"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000000"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000000"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000000"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808080"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808080" w:val="clear"/>
      </w:tcPr>
    </w:tblStylePr>
  </w:style>
  <w:style w:type="table" w:styleId="MediumGrid3-Accent1">
    <w:name w:val="Medium Grid 3 Accent 1"/>
    <w:basedOn w:val="TableNormal"/>
    <w:uiPriority w:val="69"/>
    <w:pPr>
      <w:spacing w:after="0" w:line="240" w:lineRule="auto"/>
    </w:pPr>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shd w:color="auto" w:fill="d3dfee" w:val="clear"/>
    </w:tblPr>
    <w:tcPr>
      <w:shd w:color="auto" w:fill="d3dfee"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4f81b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4f81bd"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4f81bd"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4f81b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7bfde"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a7bfde" w:val="clear"/>
      </w:tcPr>
    </w:tblStylePr>
  </w:style>
  <w:style w:type="table" w:styleId="MediumGrid3-Accent2">
    <w:name w:val="Medium Grid 3 Accent 2"/>
    <w:basedOn w:val="TableNormal"/>
    <w:uiPriority w:val="69"/>
    <w:pPr>
      <w:spacing w:after="0" w:line="240" w:lineRule="auto"/>
    </w:pPr>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shd w:color="auto" w:fill="efd3d2" w:val="clear"/>
    </w:tblPr>
    <w:tcPr>
      <w:shd w:color="auto" w:fill="efd3d2"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c0504d"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c0504d"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c0504d"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c0504d"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dfa7a6"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dfa7a6" w:val="clear"/>
      </w:tcPr>
    </w:tblStylePr>
  </w:style>
  <w:style w:type="table" w:styleId="MediumGrid3-Accent3">
    <w:name w:val="Medium Grid 3 Accent 3"/>
    <w:basedOn w:val="TableNormal"/>
    <w:uiPriority w:val="69"/>
    <w:pPr>
      <w:spacing w:after="0" w:line="240" w:lineRule="auto"/>
    </w:pPr>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shd w:color="auto" w:fill="e6eed5" w:val="clear"/>
    </w:tblPr>
    <w:tcPr>
      <w:shd w:color="auto" w:fill="e6eed5"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9bbb59"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9bbb59"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9bbb59"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9bbb59"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cdddac"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cdddac" w:val="clear"/>
      </w:tcPr>
    </w:tblStylePr>
  </w:style>
  <w:style w:type="table" w:styleId="MediumGrid3-Accent4">
    <w:name w:val="Medium Grid 3 Accent 4"/>
    <w:basedOn w:val="TableNormal"/>
    <w:uiPriority w:val="69"/>
    <w:pPr>
      <w:spacing w:after="0" w:line="240" w:lineRule="auto"/>
    </w:pPr>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shd w:color="auto" w:fill="dfd8e8" w:val="clear"/>
    </w:tblPr>
    <w:tcPr>
      <w:shd w:color="auto" w:fill="dfd8e8"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8064a2"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8064a2"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8064a2"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8064a2"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bfb1d0"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bfb1d0" w:val="clear"/>
      </w:tcPr>
    </w:tblStylePr>
  </w:style>
  <w:style w:type="table" w:styleId="MediumGrid3-Accent5">
    <w:name w:val="Medium Grid 3 Accent 5"/>
    <w:basedOn w:val="TableNormal"/>
    <w:uiPriority w:val="69"/>
    <w:pPr>
      <w:spacing w:after="0" w:line="240" w:lineRule="auto"/>
    </w:pPr>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shd w:color="auto" w:fill="d2eaf1" w:val="clear"/>
    </w:tblPr>
    <w:tcPr>
      <w:shd w:color="auto" w:fill="d2eaf1"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4bacc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4bacc6"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4bacc6"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4bacc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a5d5e2"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a5d5e2" w:val="clear"/>
      </w:tcPr>
    </w:tblStylePr>
  </w:style>
  <w:style w:type="table" w:styleId="MediumGrid3-Accent6">
    <w:name w:val="Medium Grid 3 Accent 6"/>
    <w:basedOn w:val="TableNormal"/>
    <w:uiPriority w:val="69"/>
    <w:pPr>
      <w:spacing w:after="0" w:line="240" w:lineRule="auto"/>
    </w:pPr>
    <w:tblPr>
      <w:tblStyleRowBandSize w:val="1"/>
      <w:tblStyleColBandSize w:val="1"/>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shd w:color="auto" w:fill="fde4d0" w:val="clear"/>
    </w:tblPr>
    <w:tcPr>
      <w:shd w:color="auto" w:fill="fde4d0" w:val="clear"/>
    </w:tcPr>
    <w:tblStylePr w:type="firstRow">
      <w:rPr>
        <w:b w:val="1"/>
        <w:bCs w:val="1"/>
        <w:i w:val="0"/>
        <w:iCs w:val="0"/>
        <w:color w:val="ffffff"/>
      </w:rPr>
      <w:tblPr/>
      <w:tcPr>
        <w:tcBorders>
          <w:top w:color="ffffff" w:space="0" w:sz="8" w:val="single"/>
          <w:left w:color="ffffff" w:space="0" w:sz="8" w:val="single"/>
          <w:bottom w:color="ffffff" w:space="0" w:sz="24" w:val="single"/>
          <w:right w:color="ffffff" w:space="0" w:sz="8" w:val="single"/>
          <w:insideH w:space="0" w:sz="0" w:val="nil"/>
          <w:insideV w:color="ffffff" w:space="0" w:sz="8" w:val="single"/>
        </w:tcBorders>
        <w:shd w:color="auto" w:fill="f79646" w:val="clear"/>
      </w:tcPr>
    </w:tblStylePr>
    <w:tblStylePr w:type="lastRow">
      <w:rPr>
        <w:b w:val="1"/>
        <w:bCs w:val="1"/>
        <w:i w:val="0"/>
        <w:iCs w:val="0"/>
        <w:color w:val="ffffff"/>
      </w:rPr>
      <w:tblPr/>
      <w:tcPr>
        <w:tcBorders>
          <w:top w:color="ffffff" w:space="0" w:sz="24" w:val="single"/>
          <w:left w:color="ffffff" w:space="0" w:sz="8" w:val="single"/>
          <w:bottom w:color="ffffff" w:space="0" w:sz="8" w:val="single"/>
          <w:right w:color="ffffff" w:space="0" w:sz="8" w:val="single"/>
          <w:insideH w:space="0" w:sz="0" w:val="nil"/>
          <w:insideV w:color="ffffff" w:space="0" w:sz="8" w:val="single"/>
        </w:tcBorders>
        <w:shd w:color="auto" w:fill="f79646" w:val="clear"/>
      </w:tcPr>
    </w:tblStylePr>
    <w:tblStylePr w:type="firstCol">
      <w:rPr>
        <w:b w:val="1"/>
        <w:bCs w:val="1"/>
        <w:i w:val="0"/>
        <w:iCs w:val="0"/>
        <w:color w:val="ffffff"/>
      </w:rPr>
      <w:tblPr/>
      <w:tcPr>
        <w:tcBorders>
          <w:left w:color="ffffff" w:space="0" w:sz="8" w:val="single"/>
          <w:right w:color="ffffff" w:space="0" w:sz="24" w:val="single"/>
          <w:insideH w:space="0" w:sz="0" w:val="nil"/>
          <w:insideV w:space="0" w:sz="0" w:val="nil"/>
        </w:tcBorders>
        <w:shd w:color="auto" w:fill="f79646" w:val="clear"/>
      </w:tcPr>
    </w:tblStylePr>
    <w:tblStylePr w:type="lastCol">
      <w:rPr>
        <w:b w:val="1"/>
        <w:bCs w:val="1"/>
        <w:i w:val="0"/>
        <w:iCs w:val="0"/>
        <w:color w:val="ffffff"/>
      </w:rPr>
      <w:tblPr/>
      <w:tcPr>
        <w:tcBorders>
          <w:top w:space="0" w:sz="0" w:val="nil"/>
          <w:left w:color="ffffff" w:space="0" w:sz="24" w:val="single"/>
          <w:bottom w:space="0" w:sz="0" w:val="nil"/>
          <w:right w:space="0" w:sz="0" w:val="nil"/>
          <w:insideH w:space="0" w:sz="0" w:val="nil"/>
          <w:insideV w:space="0" w:sz="0" w:val="nil"/>
        </w:tcBorders>
        <w:shd w:color="auto" w:fill="f79646" w:val="clear"/>
      </w:tcPr>
    </w:tblStylePr>
    <w:tblStylePr w:type="band1Vert">
      <w:tblPr/>
      <w:tcPr>
        <w:tcBorders>
          <w:top w:color="ffffff" w:space="0" w:sz="8" w:val="single"/>
          <w:left w:color="ffffff" w:space="0" w:sz="8" w:val="single"/>
          <w:bottom w:color="ffffff" w:space="0" w:sz="8" w:val="single"/>
          <w:right w:color="ffffff" w:space="0" w:sz="8" w:val="single"/>
          <w:insideH w:space="0" w:sz="0" w:val="nil"/>
          <w:insideV w:space="0" w:sz="0" w:val="nil"/>
        </w:tcBorders>
        <w:shd w:color="auto" w:fill="fbcaa2" w:val="clear"/>
      </w:tcPr>
    </w:tblStylePr>
    <w:tblStylePr w:type="band1Horz">
      <w:tblPr/>
      <w:tcPr>
        <w:tcBorders>
          <w:top w:color="ffffff" w:space="0" w:sz="8" w:val="single"/>
          <w:left w:color="ffffff" w:space="0" w:sz="8" w:val="single"/>
          <w:bottom w:color="ffffff" w:space="0" w:sz="8" w:val="single"/>
          <w:right w:color="ffffff" w:space="0" w:sz="8" w:val="single"/>
          <w:insideH w:color="ffffff" w:space="0" w:sz="8" w:val="single"/>
          <w:insideV w:color="ffffff" w:space="0" w:sz="8" w:val="single"/>
        </w:tcBorders>
        <w:shd w:color="auto" w:fill="fbcaa2" w:val="clear"/>
      </w:tcPr>
    </w:tblStylePr>
  </w:style>
  <w:style w:type="table" w:styleId="DarkList">
    <w:name w:val="Dark List"/>
    <w:basedOn w:val="TableNormal"/>
    <w:uiPriority w:val="70"/>
    <w:pPr>
      <w:spacing w:after="0" w:line="240" w:lineRule="auto"/>
    </w:pPr>
    <w:rPr>
      <w:color w:val="ffffff"/>
    </w:rPr>
    <w:tblPr>
      <w:tblStyleRowBandSize w:val="1"/>
      <w:tblStyleColBandSize w:val="1"/>
      <w:shd w:color="auto" w:fill="000000" w:val="clear"/>
    </w:tblPr>
    <w:tcPr>
      <w:shd w:color="auto" w:fill="000000"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00000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000000"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000000"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val="clear"/>
      </w:tcPr>
    </w:tblStylePr>
  </w:style>
  <w:style w:type="table" w:styleId="DarkList-Accent1">
    <w:name w:val="Dark List Accent 1"/>
    <w:basedOn w:val="TableNormal"/>
    <w:uiPriority w:val="70"/>
    <w:pPr>
      <w:spacing w:after="0" w:line="240" w:lineRule="auto"/>
    </w:pPr>
    <w:rPr>
      <w:color w:val="ffffff"/>
    </w:rPr>
    <w:tblPr>
      <w:tblStyleRowBandSize w:val="1"/>
      <w:tblStyleColBandSize w:val="1"/>
      <w:shd w:color="auto" w:fill="4f81bd" w:val="clear"/>
    </w:tblPr>
    <w:tcPr>
      <w:shd w:color="auto" w:fill="4f81bd"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43f60"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65f91"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365f9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val="clear"/>
      </w:tcPr>
    </w:tblStylePr>
  </w:style>
  <w:style w:type="table" w:styleId="DarkList-Accent2">
    <w:name w:val="Dark List Accent 2"/>
    <w:basedOn w:val="TableNormal"/>
    <w:uiPriority w:val="70"/>
    <w:pPr>
      <w:spacing w:after="0" w:line="240" w:lineRule="auto"/>
    </w:pPr>
    <w:rPr>
      <w:color w:val="ffffff"/>
    </w:rPr>
    <w:tblPr>
      <w:tblStyleRowBandSize w:val="1"/>
      <w:tblStyleColBandSize w:val="1"/>
      <w:shd w:color="auto" w:fill="c0504d" w:val="clear"/>
    </w:tblPr>
    <w:tcPr>
      <w:shd w:color="auto" w:fill="c0504d"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622423"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943634"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943634"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val="clear"/>
      </w:tcPr>
    </w:tblStylePr>
  </w:style>
  <w:style w:type="table" w:styleId="DarkList-Accent3">
    <w:name w:val="Dark List Accent 3"/>
    <w:basedOn w:val="TableNormal"/>
    <w:uiPriority w:val="70"/>
    <w:pPr>
      <w:spacing w:after="0" w:line="240" w:lineRule="auto"/>
    </w:pPr>
    <w:rPr>
      <w:color w:val="ffffff"/>
    </w:rPr>
    <w:tblPr>
      <w:tblStyleRowBandSize w:val="1"/>
      <w:tblStyleColBandSize w:val="1"/>
      <w:shd w:color="auto" w:fill="9bbb59" w:val="clear"/>
    </w:tblPr>
    <w:tcPr>
      <w:shd w:color="auto" w:fill="9bbb59"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4e6128"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76923c"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76923c"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val="clear"/>
      </w:tcPr>
    </w:tblStylePr>
  </w:style>
  <w:style w:type="table" w:styleId="DarkList-Accent4">
    <w:name w:val="Dark List Accent 4"/>
    <w:basedOn w:val="TableNormal"/>
    <w:uiPriority w:val="70"/>
    <w:pPr>
      <w:spacing w:after="0" w:line="240" w:lineRule="auto"/>
    </w:pPr>
    <w:rPr>
      <w:color w:val="ffffff"/>
    </w:rPr>
    <w:tblPr>
      <w:tblStyleRowBandSize w:val="1"/>
      <w:tblStyleColBandSize w:val="1"/>
      <w:shd w:color="auto" w:fill="8064a2" w:val="clear"/>
    </w:tblPr>
    <w:tcPr>
      <w:shd w:color="auto" w:fill="8064a2"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3f3151"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5f497a"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5f497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val="clear"/>
      </w:tcPr>
    </w:tblStylePr>
  </w:style>
  <w:style w:type="table" w:styleId="DarkList-Accent5">
    <w:name w:val="Dark List Accent 5"/>
    <w:basedOn w:val="TableNormal"/>
    <w:uiPriority w:val="70"/>
    <w:pPr>
      <w:spacing w:after="0" w:line="240" w:lineRule="auto"/>
    </w:pPr>
    <w:rPr>
      <w:color w:val="ffffff"/>
    </w:rPr>
    <w:tblPr>
      <w:tblStyleRowBandSize w:val="1"/>
      <w:tblStyleColBandSize w:val="1"/>
      <w:shd w:color="auto" w:fill="4bacc6" w:val="clear"/>
    </w:tblPr>
    <w:tcPr>
      <w:shd w:color="auto" w:fill="4bacc6"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205867"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31849b"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31849b"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val="clear"/>
      </w:tcPr>
    </w:tblStylePr>
  </w:style>
  <w:style w:type="table" w:styleId="DarkList-Accent6">
    <w:name w:val="Dark List Accent 6"/>
    <w:basedOn w:val="TableNormal"/>
    <w:uiPriority w:val="70"/>
    <w:pPr>
      <w:spacing w:after="0" w:line="240" w:lineRule="auto"/>
    </w:pPr>
    <w:rPr>
      <w:color w:val="ffffff"/>
    </w:rPr>
    <w:tblPr>
      <w:tblStyleRowBandSize w:val="1"/>
      <w:tblStyleColBandSize w:val="1"/>
      <w:shd w:color="auto" w:fill="f79646" w:val="clear"/>
    </w:tblPr>
    <w:tcPr>
      <w:shd w:color="auto" w:fill="f79646" w:val="clear"/>
    </w:tcPr>
    <w:tblStylePr w:type="firstRow">
      <w:rPr>
        <w:b w:val="1"/>
        <w:bCs w:val="1"/>
      </w:rPr>
      <w:tblPr/>
      <w:tcPr>
        <w:tcBorders>
          <w:top w:space="0" w:sz="0" w:val="nil"/>
          <w:left w:space="0" w:sz="0" w:val="nil"/>
          <w:bottom w:color="ffffff" w:space="0" w:sz="18" w:val="single"/>
          <w:right w:space="0" w:sz="0" w:val="nil"/>
          <w:insideH w:space="0" w:sz="0" w:val="nil"/>
          <w:insideV w:space="0" w:sz="0" w:val="nil"/>
        </w:tcBorders>
        <w:shd w:color="auto" w:fill="000000" w:val="clear"/>
      </w:tcPr>
    </w:tblStylePr>
    <w:tblStylePr w:type="lastRow">
      <w:tblPr/>
      <w:tcPr>
        <w:tcBorders>
          <w:top w:color="ffffff" w:space="0" w:sz="18" w:val="single"/>
          <w:left w:space="0" w:sz="0" w:val="nil"/>
          <w:bottom w:space="0" w:sz="0" w:val="nil"/>
          <w:right w:space="0" w:sz="0" w:val="nil"/>
          <w:insideH w:space="0" w:sz="0" w:val="nil"/>
          <w:insideV w:space="0" w:sz="0" w:val="nil"/>
        </w:tcBorders>
        <w:shd w:color="auto" w:fill="974706" w:val="clear"/>
      </w:tcPr>
    </w:tblStylePr>
    <w:tblStylePr w:type="firstCol">
      <w:tblPr/>
      <w:tcPr>
        <w:tcBorders>
          <w:top w:space="0" w:sz="0" w:val="nil"/>
          <w:left w:space="0" w:sz="0" w:val="nil"/>
          <w:bottom w:space="0" w:sz="0" w:val="nil"/>
          <w:right w:color="ffffff" w:space="0" w:sz="18" w:val="single"/>
          <w:insideH w:space="0" w:sz="0" w:val="nil"/>
          <w:insideV w:space="0" w:sz="0" w:val="nil"/>
        </w:tcBorders>
        <w:shd w:color="auto" w:fill="e36c0a" w:val="clear"/>
      </w:tcPr>
    </w:tblStylePr>
    <w:tblStylePr w:type="lastCol">
      <w:tblPr/>
      <w:tcPr>
        <w:tcBorders>
          <w:top w:space="0" w:sz="0" w:val="nil"/>
          <w:left w:color="ffffff" w:space="0" w:sz="18" w:val="single"/>
          <w:bottom w:space="0" w:sz="0" w:val="nil"/>
          <w:right w:space="0" w:sz="0" w:val="nil"/>
          <w:insideH w:space="0" w:sz="0" w:val="nil"/>
          <w:insideV w:space="0" w:sz="0" w:val="nil"/>
        </w:tcBorders>
        <w:shd w:color="auto" w:fill="e36c0a"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val="clear"/>
      </w:tcPr>
    </w:tblStylePr>
  </w:style>
  <w:style w:type="table" w:styleId="ColorfulShading">
    <w:name w:val="Colorful Shading"/>
    <w:basedOn w:val="TableNormal"/>
    <w:uiPriority w:val="71"/>
    <w:pPr>
      <w:spacing w:after="0" w:line="240" w:lineRule="auto"/>
    </w:pPr>
    <w:rPr>
      <w:color w:val="000000"/>
    </w:rPr>
    <w:tblPr>
      <w:tblStyleRowBandSize w:val="1"/>
      <w:tblStyleColBandSize w:val="1"/>
      <w:tblBorders>
        <w:top w:color="c0504d" w:space="0" w:sz="24" w:val="single"/>
        <w:left w:color="000000" w:space="0" w:sz="4" w:val="single"/>
        <w:bottom w:color="000000" w:space="0" w:sz="4" w:val="single"/>
        <w:right w:color="000000" w:space="0" w:sz="4" w:val="single"/>
        <w:insideH w:color="ffffff" w:space="0" w:sz="4" w:val="single"/>
        <w:insideV w:color="ffffff" w:space="0" w:sz="4" w:val="single"/>
      </w:tblBorders>
      <w:shd w:color="auto" w:fill="e6e6e6" w:val="clear"/>
    </w:tblPr>
    <w:tcPr>
      <w:shd w:color="auto" w:fill="e6e6e6" w:val="clear"/>
    </w:tcPr>
    <w:tblStylePr w:type="firstRow">
      <w:rPr>
        <w:b w:val="1"/>
        <w:bCs w:val="1"/>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000000" w:val="clear"/>
      </w:tcPr>
    </w:tblStylePr>
    <w:tblStylePr w:type="firstCol">
      <w:rPr>
        <w:color w:val="ffffff"/>
      </w:rPr>
      <w:tblPr/>
      <w:tcPr>
        <w:tcBorders>
          <w:top w:space="0" w:sz="0" w:val="nil"/>
          <w:left w:space="0" w:sz="0" w:val="nil"/>
          <w:bottom w:space="0" w:sz="0" w:val="nil"/>
          <w:right w:space="0" w:sz="0" w:val="nil"/>
          <w:insideH w:color="000000" w:space="0" w:sz="4" w:val="single"/>
          <w:insideV w:space="0" w:sz="0" w:val="nil"/>
        </w:tcBorders>
        <w:shd w:color="auto" w:fill="00000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000000" w:val="clear"/>
      </w:tcPr>
    </w:tblStylePr>
    <w:tblStylePr w:type="band1Vert">
      <w:tblPr/>
      <w:tcPr>
        <w:shd w:color="auto" w:fill="999999" w:val="clear"/>
      </w:tcPr>
    </w:tblStylePr>
    <w:tblStylePr w:type="band1Horz">
      <w:tblPr/>
      <w:tcPr>
        <w:shd w:color="auto" w:fill="808080" w:val="clear"/>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pPr>
      <w:spacing w:after="0" w:line="240" w:lineRule="auto"/>
    </w:pPr>
    <w:rPr>
      <w:color w:val="000000"/>
    </w:rPr>
    <w:tblPr>
      <w:tblStyleRowBandSize w:val="1"/>
      <w:tblStyleColBandSize w:val="1"/>
      <w:tblBorders>
        <w:top w:color="c0504d" w:space="0" w:sz="24" w:val="single"/>
        <w:left w:color="4f81bd" w:space="0" w:sz="4" w:val="single"/>
        <w:bottom w:color="4f81bd" w:space="0" w:sz="4" w:val="single"/>
        <w:right w:color="4f81bd" w:space="0" w:sz="4" w:val="single"/>
        <w:insideH w:color="ffffff" w:space="0" w:sz="4" w:val="single"/>
        <w:insideV w:color="ffffff" w:space="0" w:sz="4" w:val="single"/>
      </w:tblBorders>
      <w:shd w:color="auto" w:fill="edf2f8" w:val="clear"/>
    </w:tblPr>
    <w:tcPr>
      <w:shd w:color="auto" w:fill="edf2f8" w:val="clear"/>
    </w:tcPr>
    <w:tblStylePr w:type="firstRow">
      <w:rPr>
        <w:b w:val="1"/>
        <w:bCs w:val="1"/>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c4c74" w:val="clear"/>
      </w:tcPr>
    </w:tblStylePr>
    <w:tblStylePr w:type="firstCol">
      <w:rPr>
        <w:color w:val="ffffff"/>
      </w:rPr>
      <w:tblPr/>
      <w:tcPr>
        <w:tcBorders>
          <w:top w:space="0" w:sz="0" w:val="nil"/>
          <w:left w:space="0" w:sz="0" w:val="nil"/>
          <w:bottom w:space="0" w:sz="0" w:val="nil"/>
          <w:right w:space="0" w:sz="0" w:val="nil"/>
          <w:insideH w:color="2c4c74" w:space="0" w:sz="4" w:val="single"/>
          <w:insideV w:space="0" w:sz="0" w:val="nil"/>
        </w:tcBorders>
        <w:shd w:color="auto" w:fill="2c4c74"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c4c74" w:val="clear"/>
      </w:tcPr>
    </w:tblStylePr>
    <w:tblStylePr w:type="band1Vert">
      <w:tblPr/>
      <w:tcPr>
        <w:shd w:color="auto" w:fill="b8cce4" w:val="clear"/>
      </w:tcPr>
    </w:tblStylePr>
    <w:tblStylePr w:type="band1Horz">
      <w:tblPr/>
      <w:tcPr>
        <w:shd w:color="auto" w:fill="a7bfde" w:val="clear"/>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pPr>
      <w:spacing w:after="0" w:line="240" w:lineRule="auto"/>
    </w:pPr>
    <w:rPr>
      <w:color w:val="000000"/>
    </w:rPr>
    <w:tblPr>
      <w:tblStyleRowBandSize w:val="1"/>
      <w:tblStyleColBandSize w:val="1"/>
      <w:tblBorders>
        <w:top w:color="c0504d" w:space="0" w:sz="24" w:val="single"/>
        <w:left w:color="c0504d" w:space="0" w:sz="4" w:val="single"/>
        <w:bottom w:color="c0504d" w:space="0" w:sz="4" w:val="single"/>
        <w:right w:color="c0504d" w:space="0" w:sz="4" w:val="single"/>
        <w:insideH w:color="ffffff" w:space="0" w:sz="4" w:val="single"/>
        <w:insideV w:color="ffffff" w:space="0" w:sz="4" w:val="single"/>
      </w:tblBorders>
      <w:shd w:color="auto" w:fill="f8eded" w:val="clear"/>
    </w:tblPr>
    <w:tcPr>
      <w:shd w:color="auto" w:fill="f8eded" w:val="clear"/>
    </w:tcPr>
    <w:tblStylePr w:type="firstRow">
      <w:rPr>
        <w:b w:val="1"/>
        <w:bCs w:val="1"/>
      </w:rPr>
      <w:tblPr/>
      <w:tcPr>
        <w:tcBorders>
          <w:top w:space="0" w:sz="0" w:val="nil"/>
          <w:left w:space="0" w:sz="0" w:val="nil"/>
          <w:bottom w:color="c0504d"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772c2a" w:val="clear"/>
      </w:tcPr>
    </w:tblStylePr>
    <w:tblStylePr w:type="firstCol">
      <w:rPr>
        <w:color w:val="ffffff"/>
      </w:rPr>
      <w:tblPr/>
      <w:tcPr>
        <w:tcBorders>
          <w:top w:space="0" w:sz="0" w:val="nil"/>
          <w:left w:space="0" w:sz="0" w:val="nil"/>
          <w:bottom w:space="0" w:sz="0" w:val="nil"/>
          <w:right w:space="0" w:sz="0" w:val="nil"/>
          <w:insideH w:color="772c2a" w:space="0" w:sz="4" w:val="single"/>
          <w:insideV w:space="0" w:sz="0" w:val="nil"/>
        </w:tcBorders>
        <w:shd w:color="auto" w:fill="772c2a"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772c2a" w:val="clear"/>
      </w:tcPr>
    </w:tblStylePr>
    <w:tblStylePr w:type="band1Vert">
      <w:tblPr/>
      <w:tcPr>
        <w:shd w:color="auto" w:fill="e5b8b7" w:val="clear"/>
      </w:tcPr>
    </w:tblStylePr>
    <w:tblStylePr w:type="band1Horz">
      <w:tblPr/>
      <w:tcPr>
        <w:shd w:color="auto" w:fill="dfa7a6" w:val="clear"/>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pPr>
      <w:spacing w:after="0" w:line="240" w:lineRule="auto"/>
    </w:pPr>
    <w:rPr>
      <w:color w:val="000000"/>
    </w:rPr>
    <w:tblPr>
      <w:tblStyleRowBandSize w:val="1"/>
      <w:tblStyleColBandSize w:val="1"/>
      <w:tblBorders>
        <w:top w:color="8064a2" w:space="0" w:sz="24" w:val="single"/>
        <w:left w:color="9bbb59" w:space="0" w:sz="4" w:val="single"/>
        <w:bottom w:color="9bbb59" w:space="0" w:sz="4" w:val="single"/>
        <w:right w:color="9bbb59" w:space="0" w:sz="4" w:val="single"/>
        <w:insideH w:color="ffffff" w:space="0" w:sz="4" w:val="single"/>
        <w:insideV w:color="ffffff" w:space="0" w:sz="4" w:val="single"/>
      </w:tblBorders>
      <w:shd w:color="auto" w:fill="f5f8ee" w:val="clear"/>
    </w:tblPr>
    <w:tcPr>
      <w:shd w:color="auto" w:fill="f5f8ee" w:val="clear"/>
    </w:tcPr>
    <w:tblStylePr w:type="firstRow">
      <w:rPr>
        <w:b w:val="1"/>
        <w:bCs w:val="1"/>
      </w:rPr>
      <w:tblPr/>
      <w:tcPr>
        <w:tcBorders>
          <w:top w:space="0" w:sz="0" w:val="nil"/>
          <w:left w:space="0" w:sz="0" w:val="nil"/>
          <w:bottom w:color="8064a2"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5e7530" w:val="clear"/>
      </w:tcPr>
    </w:tblStylePr>
    <w:tblStylePr w:type="firstCol">
      <w:rPr>
        <w:color w:val="ffffff"/>
      </w:rPr>
      <w:tblPr/>
      <w:tcPr>
        <w:tcBorders>
          <w:top w:space="0" w:sz="0" w:val="nil"/>
          <w:left w:space="0" w:sz="0" w:val="nil"/>
          <w:bottom w:space="0" w:sz="0" w:val="nil"/>
          <w:right w:space="0" w:sz="0" w:val="nil"/>
          <w:insideH w:color="5e7530" w:space="0" w:sz="4" w:val="single"/>
          <w:insideV w:space="0" w:sz="0" w:val="nil"/>
        </w:tcBorders>
        <w:shd w:color="auto" w:fill="5e7530"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5e7530" w:val="clear"/>
      </w:tcPr>
    </w:tblStylePr>
    <w:tblStylePr w:type="band1Vert">
      <w:tblPr/>
      <w:tcPr>
        <w:shd w:color="auto" w:fill="d6e3bc" w:val="clear"/>
      </w:tcPr>
    </w:tblStylePr>
    <w:tblStylePr w:type="band1Horz">
      <w:tblPr/>
      <w:tcPr>
        <w:shd w:color="auto" w:fill="cdddac" w:val="clear"/>
      </w:tcPr>
    </w:tblStylePr>
  </w:style>
  <w:style w:type="table" w:styleId="ColorfulShading-Accent4">
    <w:name w:val="Colorful Shading Accent 4"/>
    <w:basedOn w:val="TableNormal"/>
    <w:uiPriority w:val="71"/>
    <w:pPr>
      <w:spacing w:after="0" w:line="240" w:lineRule="auto"/>
    </w:pPr>
    <w:rPr>
      <w:color w:val="000000"/>
    </w:rPr>
    <w:tblPr>
      <w:tblStyleRowBandSize w:val="1"/>
      <w:tblStyleColBandSize w:val="1"/>
      <w:tblBorders>
        <w:top w:color="9bbb59" w:space="0" w:sz="24" w:val="single"/>
        <w:left w:color="8064a2" w:space="0" w:sz="4" w:val="single"/>
        <w:bottom w:color="8064a2" w:space="0" w:sz="4" w:val="single"/>
        <w:right w:color="8064a2" w:space="0" w:sz="4" w:val="single"/>
        <w:insideH w:color="ffffff" w:space="0" w:sz="4" w:val="single"/>
        <w:insideV w:color="ffffff" w:space="0" w:sz="4" w:val="single"/>
      </w:tblBorders>
      <w:shd w:color="auto" w:fill="f2eff6" w:val="clear"/>
    </w:tblPr>
    <w:tcPr>
      <w:shd w:color="auto" w:fill="f2eff6" w:val="clear"/>
    </w:tcPr>
    <w:tblStylePr w:type="firstRow">
      <w:rPr>
        <w:b w:val="1"/>
        <w:bCs w:val="1"/>
      </w:rPr>
      <w:tblPr/>
      <w:tcPr>
        <w:tcBorders>
          <w:top w:space="0" w:sz="0" w:val="nil"/>
          <w:left w:space="0" w:sz="0" w:val="nil"/>
          <w:bottom w:color="9bbb59"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4c3b62" w:val="clear"/>
      </w:tcPr>
    </w:tblStylePr>
    <w:tblStylePr w:type="firstCol">
      <w:rPr>
        <w:color w:val="ffffff"/>
      </w:rPr>
      <w:tblPr/>
      <w:tcPr>
        <w:tcBorders>
          <w:top w:space="0" w:sz="0" w:val="nil"/>
          <w:left w:space="0" w:sz="0" w:val="nil"/>
          <w:bottom w:space="0" w:sz="0" w:val="nil"/>
          <w:right w:space="0" w:sz="0" w:val="nil"/>
          <w:insideH w:color="4c3b62" w:space="0" w:sz="4" w:val="single"/>
          <w:insideV w:space="0" w:sz="0" w:val="nil"/>
        </w:tcBorders>
        <w:shd w:color="auto" w:fill="4c3b62"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4c3b62" w:val="clear"/>
      </w:tcPr>
    </w:tblStylePr>
    <w:tblStylePr w:type="band1Vert">
      <w:tblPr/>
      <w:tcPr>
        <w:shd w:color="auto" w:fill="ccc0d9" w:val="clear"/>
      </w:tcPr>
    </w:tblStylePr>
    <w:tblStylePr w:type="band1Horz">
      <w:tblPr/>
      <w:tcPr>
        <w:shd w:color="auto" w:fill="bfb1d0" w:val="clear"/>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pPr>
      <w:spacing w:after="0" w:line="240" w:lineRule="auto"/>
    </w:pPr>
    <w:rPr>
      <w:color w:val="000000"/>
    </w:rPr>
    <w:tblPr>
      <w:tblStyleRowBandSize w:val="1"/>
      <w:tblStyleColBandSize w:val="1"/>
      <w:tblBorders>
        <w:top w:color="f79646" w:space="0" w:sz="24" w:val="single"/>
        <w:left w:color="4bacc6" w:space="0" w:sz="4" w:val="single"/>
        <w:bottom w:color="4bacc6" w:space="0" w:sz="4" w:val="single"/>
        <w:right w:color="4bacc6" w:space="0" w:sz="4" w:val="single"/>
        <w:insideH w:color="ffffff" w:space="0" w:sz="4" w:val="single"/>
        <w:insideV w:color="ffffff" w:space="0" w:sz="4" w:val="single"/>
      </w:tblBorders>
      <w:shd w:color="auto" w:fill="edf6f9" w:val="clear"/>
    </w:tblPr>
    <w:tcPr>
      <w:shd w:color="auto" w:fill="edf6f9" w:val="clear"/>
    </w:tcPr>
    <w:tblStylePr w:type="firstRow">
      <w:rPr>
        <w:b w:val="1"/>
        <w:bCs w:val="1"/>
      </w:rPr>
      <w:tblPr/>
      <w:tcPr>
        <w:tcBorders>
          <w:top w:space="0" w:sz="0" w:val="nil"/>
          <w:left w:space="0" w:sz="0" w:val="nil"/>
          <w:bottom w:color="f79646"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276a7c" w:val="clear"/>
      </w:tcPr>
    </w:tblStylePr>
    <w:tblStylePr w:type="firstCol">
      <w:rPr>
        <w:color w:val="ffffff"/>
      </w:rPr>
      <w:tblPr/>
      <w:tcPr>
        <w:tcBorders>
          <w:top w:space="0" w:sz="0" w:val="nil"/>
          <w:left w:space="0" w:sz="0" w:val="nil"/>
          <w:bottom w:space="0" w:sz="0" w:val="nil"/>
          <w:right w:space="0" w:sz="0" w:val="nil"/>
          <w:insideH w:color="276a7c" w:space="0" w:sz="4" w:val="single"/>
          <w:insideV w:space="0" w:sz="0" w:val="nil"/>
        </w:tcBorders>
        <w:shd w:color="auto" w:fill="276a7c"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276a7c" w:val="clear"/>
      </w:tcPr>
    </w:tblStylePr>
    <w:tblStylePr w:type="band1Vert">
      <w:tblPr/>
      <w:tcPr>
        <w:shd w:color="auto" w:fill="b6dde8" w:val="clear"/>
      </w:tcPr>
    </w:tblStylePr>
    <w:tblStylePr w:type="band1Horz">
      <w:tblPr/>
      <w:tcPr>
        <w:shd w:color="auto" w:fill="a5d5e2" w:val="clear"/>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pPr>
      <w:spacing w:after="0" w:line="240" w:lineRule="auto"/>
    </w:pPr>
    <w:rPr>
      <w:color w:val="000000"/>
    </w:rPr>
    <w:tblPr>
      <w:tblStyleRowBandSize w:val="1"/>
      <w:tblStyleColBandSize w:val="1"/>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shd w:color="auto" w:fill="fef4ec" w:val="clear"/>
    </w:tblPr>
    <w:tcPr>
      <w:shd w:color="auto" w:fill="fef4ec" w:val="clear"/>
    </w:tcPr>
    <w:tblStylePr w:type="firstRow">
      <w:rPr>
        <w:b w:val="1"/>
        <w:bCs w:val="1"/>
      </w:rPr>
      <w:tblPr/>
      <w:tcPr>
        <w:tcBorders>
          <w:top w:space="0" w:sz="0" w:val="nil"/>
          <w:left w:space="0" w:sz="0" w:val="nil"/>
          <w:bottom w:color="4bacc6" w:space="0" w:sz="24" w:val="single"/>
          <w:right w:space="0" w:sz="0" w:val="nil"/>
          <w:insideH w:space="0" w:sz="0" w:val="nil"/>
          <w:insideV w:space="0" w:sz="0" w:val="nil"/>
        </w:tcBorders>
        <w:shd w:color="auto" w:fill="ffffff" w:val="clear"/>
      </w:tcPr>
    </w:tblStylePr>
    <w:tblStylePr w:type="lastRow">
      <w:rPr>
        <w:b w:val="1"/>
        <w:bCs w:val="1"/>
        <w:color w:val="ffffff"/>
      </w:rPr>
      <w:tblPr/>
      <w:tcPr>
        <w:tcBorders>
          <w:top w:color="ffffff" w:space="0" w:sz="6" w:val="single"/>
        </w:tcBorders>
        <w:shd w:color="auto" w:fill="b65608" w:val="clear"/>
      </w:tcPr>
    </w:tblStylePr>
    <w:tblStylePr w:type="firstCol">
      <w:rPr>
        <w:color w:val="ffffff"/>
      </w:rPr>
      <w:tblPr/>
      <w:tcPr>
        <w:tcBorders>
          <w:top w:space="0" w:sz="0" w:val="nil"/>
          <w:left w:space="0" w:sz="0" w:val="nil"/>
          <w:bottom w:space="0" w:sz="0" w:val="nil"/>
          <w:right w:space="0" w:sz="0" w:val="nil"/>
          <w:insideH w:color="b65608" w:space="0" w:sz="4" w:val="single"/>
          <w:insideV w:space="0" w:sz="0" w:val="nil"/>
        </w:tcBorders>
        <w:shd w:color="auto" w:fill="b65608" w:val="clear"/>
      </w:tcPr>
    </w:tblStylePr>
    <w:tblStylePr w:type="lastCol">
      <w:rPr>
        <w:color w:val="ffffff"/>
      </w:rPr>
      <w:tblPr/>
      <w:tcPr>
        <w:tcBorders>
          <w:top w:space="0" w:sz="0" w:val="nil"/>
          <w:left w:space="0" w:sz="0" w:val="nil"/>
          <w:bottom w:space="0" w:sz="0" w:val="nil"/>
          <w:right w:space="0" w:sz="0" w:val="nil"/>
          <w:insideH w:space="0" w:sz="0" w:val="nil"/>
          <w:insideV w:space="0" w:sz="0" w:val="nil"/>
        </w:tcBorders>
        <w:shd w:color="auto" w:fill="b65608" w:val="clear"/>
      </w:tcPr>
    </w:tblStylePr>
    <w:tblStylePr w:type="band1Vert">
      <w:tblPr/>
      <w:tcPr>
        <w:shd w:color="auto" w:fill="fbd4b4" w:val="clear"/>
      </w:tcPr>
    </w:tblStylePr>
    <w:tblStylePr w:type="band1Horz">
      <w:tblPr/>
      <w:tcPr>
        <w:shd w:color="auto" w:fill="fbcaa2" w:val="clear"/>
      </w:tcPr>
    </w:tblStylePr>
    <w:tblStylePr w:type="neCell">
      <w:rPr>
        <w:color w:val="000000"/>
      </w:rPr>
    </w:tblStylePr>
    <w:tblStylePr w:type="nwCell">
      <w:rPr>
        <w:color w:val="000000"/>
      </w:rPr>
    </w:tblStylePr>
  </w:style>
  <w:style w:type="table" w:styleId="ColorfulList">
    <w:name w:val="Colorful List"/>
    <w:basedOn w:val="TableNormal"/>
    <w:uiPriority w:val="72"/>
    <w:pPr>
      <w:spacing w:after="0" w:line="240" w:lineRule="auto"/>
    </w:pPr>
    <w:rPr>
      <w:color w:val="000000"/>
    </w:rPr>
    <w:tblPr>
      <w:tblStyleRowBandSize w:val="1"/>
      <w:tblStyleColBandSize w:val="1"/>
      <w:shd w:color="auto" w:fill="e6e6e6" w:val="clear"/>
    </w:tblPr>
    <w:tcPr>
      <w:shd w:color="auto" w:fill="e6e6e6" w:val="clear"/>
    </w:tcPr>
    <w:tblStylePr w:type="firstRow">
      <w:rPr>
        <w:b w:val="1"/>
        <w:bCs w:val="1"/>
        <w:color w:val="ffffff"/>
      </w:rPr>
      <w:tblPr/>
      <w:tcPr>
        <w:tcBorders>
          <w:bottom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val="clear"/>
      </w:tcPr>
    </w:tblStylePr>
    <w:tblStylePr w:type="band1Horz">
      <w:tblPr/>
      <w:tcPr>
        <w:shd w:color="auto" w:fill="cccccc" w:val="clear"/>
      </w:tcPr>
    </w:tblStylePr>
  </w:style>
  <w:style w:type="table" w:styleId="ColorfulList-Accent1">
    <w:name w:val="Colorful List Accent 1"/>
    <w:basedOn w:val="TableNormal"/>
    <w:uiPriority w:val="72"/>
    <w:pPr>
      <w:spacing w:after="0" w:line="240" w:lineRule="auto"/>
    </w:pPr>
    <w:rPr>
      <w:color w:val="000000"/>
    </w:rPr>
    <w:tblPr>
      <w:tblStyleRowBandSize w:val="1"/>
      <w:tblStyleColBandSize w:val="1"/>
      <w:shd w:color="auto" w:fill="edf2f8" w:val="clear"/>
    </w:tblPr>
    <w:tcPr>
      <w:shd w:color="auto" w:fill="edf2f8" w:val="clear"/>
    </w:tcPr>
    <w:tblStylePr w:type="firstRow">
      <w:rPr>
        <w:b w:val="1"/>
        <w:bCs w:val="1"/>
        <w:color w:val="ffffff"/>
      </w:rPr>
      <w:tblPr/>
      <w:tcPr>
        <w:tcBorders>
          <w:bottom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val="clear"/>
      </w:tcPr>
    </w:tblStylePr>
    <w:tblStylePr w:type="band1Horz">
      <w:tblPr/>
      <w:tcPr>
        <w:shd w:color="auto" w:fill="dbe5f1" w:val="clear"/>
      </w:tcPr>
    </w:tblStylePr>
  </w:style>
  <w:style w:type="table" w:styleId="ColorfulList-Accent2">
    <w:name w:val="Colorful List Accent 2"/>
    <w:basedOn w:val="TableNormal"/>
    <w:uiPriority w:val="72"/>
    <w:pPr>
      <w:spacing w:after="0" w:line="240" w:lineRule="auto"/>
    </w:pPr>
    <w:rPr>
      <w:color w:val="000000"/>
    </w:rPr>
    <w:tblPr>
      <w:tblStyleRowBandSize w:val="1"/>
      <w:tblStyleColBandSize w:val="1"/>
      <w:shd w:color="auto" w:fill="f8eded" w:val="clear"/>
    </w:tblPr>
    <w:tcPr>
      <w:shd w:color="auto" w:fill="f8eded" w:val="clear"/>
    </w:tcPr>
    <w:tblStylePr w:type="firstRow">
      <w:rPr>
        <w:b w:val="1"/>
        <w:bCs w:val="1"/>
        <w:color w:val="ffffff"/>
      </w:rPr>
      <w:tblPr/>
      <w:tcPr>
        <w:tcBorders>
          <w:bottom w:color="ffffff" w:space="0" w:sz="12" w:val="single"/>
        </w:tcBorders>
        <w:shd w:color="auto" w:fill="9e3a38" w:val="clear"/>
      </w:tcPr>
    </w:tblStylePr>
    <w:tblStylePr w:type="lastRow">
      <w:rPr>
        <w:b w:val="1"/>
        <w:bCs w:val="1"/>
        <w:color w:val="9e3a38"/>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val="clear"/>
      </w:tcPr>
    </w:tblStylePr>
    <w:tblStylePr w:type="band1Horz">
      <w:tblPr/>
      <w:tcPr>
        <w:shd w:color="auto" w:fill="f2dbdb" w:val="clear"/>
      </w:tcPr>
    </w:tblStylePr>
  </w:style>
  <w:style w:type="table" w:styleId="ColorfulList-Accent3">
    <w:name w:val="Colorful List Accent 3"/>
    <w:basedOn w:val="TableNormal"/>
    <w:uiPriority w:val="72"/>
    <w:pPr>
      <w:spacing w:after="0" w:line="240" w:lineRule="auto"/>
    </w:pPr>
    <w:rPr>
      <w:color w:val="000000"/>
    </w:rPr>
    <w:tblPr>
      <w:tblStyleRowBandSize w:val="1"/>
      <w:tblStyleColBandSize w:val="1"/>
      <w:shd w:color="auto" w:fill="f5f8ee" w:val="clear"/>
    </w:tblPr>
    <w:tcPr>
      <w:shd w:color="auto" w:fill="f5f8ee" w:val="clear"/>
    </w:tcPr>
    <w:tblStylePr w:type="firstRow">
      <w:rPr>
        <w:b w:val="1"/>
        <w:bCs w:val="1"/>
        <w:color w:val="ffffff"/>
      </w:rPr>
      <w:tblPr/>
      <w:tcPr>
        <w:tcBorders>
          <w:bottom w:color="ffffff" w:space="0" w:sz="12" w:val="single"/>
        </w:tcBorders>
        <w:shd w:color="auto" w:fill="664e82" w:val="clear"/>
      </w:tcPr>
    </w:tblStylePr>
    <w:tblStylePr w:type="lastRow">
      <w:rPr>
        <w:b w:val="1"/>
        <w:bCs w:val="1"/>
        <w:color w:val="664e82"/>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val="clear"/>
      </w:tcPr>
    </w:tblStylePr>
    <w:tblStylePr w:type="band1Horz">
      <w:tblPr/>
      <w:tcPr>
        <w:shd w:color="auto" w:fill="eaf1dd" w:val="clear"/>
      </w:tcPr>
    </w:tblStylePr>
  </w:style>
  <w:style w:type="table" w:styleId="ColorfulList-Accent4">
    <w:name w:val="Colorful List Accent 4"/>
    <w:basedOn w:val="TableNormal"/>
    <w:uiPriority w:val="72"/>
    <w:pPr>
      <w:spacing w:after="0" w:line="240" w:lineRule="auto"/>
    </w:pPr>
    <w:rPr>
      <w:color w:val="000000"/>
    </w:rPr>
    <w:tblPr>
      <w:tblStyleRowBandSize w:val="1"/>
      <w:tblStyleColBandSize w:val="1"/>
      <w:shd w:color="auto" w:fill="f2eff6" w:val="clear"/>
    </w:tblPr>
    <w:tcPr>
      <w:shd w:color="auto" w:fill="f2eff6" w:val="clear"/>
    </w:tcPr>
    <w:tblStylePr w:type="firstRow">
      <w:rPr>
        <w:b w:val="1"/>
        <w:bCs w:val="1"/>
        <w:color w:val="ffffff"/>
      </w:rPr>
      <w:tblPr/>
      <w:tcPr>
        <w:tcBorders>
          <w:bottom w:color="ffffff" w:space="0" w:sz="12" w:val="single"/>
        </w:tcBorders>
        <w:shd w:color="auto" w:fill="7e9c40" w:val="clear"/>
      </w:tcPr>
    </w:tblStylePr>
    <w:tblStylePr w:type="lastRow">
      <w:rPr>
        <w:b w:val="1"/>
        <w:bCs w:val="1"/>
        <w:color w:val="7e9c40"/>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val="clear"/>
      </w:tcPr>
    </w:tblStylePr>
    <w:tblStylePr w:type="band1Horz">
      <w:tblPr/>
      <w:tcPr>
        <w:shd w:color="auto" w:fill="e5dfec" w:val="clear"/>
      </w:tcPr>
    </w:tblStylePr>
  </w:style>
  <w:style w:type="table" w:styleId="ColorfulList-Accent5">
    <w:name w:val="Colorful List Accent 5"/>
    <w:basedOn w:val="TableNormal"/>
    <w:uiPriority w:val="72"/>
    <w:pPr>
      <w:spacing w:after="0" w:line="240" w:lineRule="auto"/>
    </w:pPr>
    <w:rPr>
      <w:color w:val="000000"/>
    </w:rPr>
    <w:tblPr>
      <w:tblStyleRowBandSize w:val="1"/>
      <w:tblStyleColBandSize w:val="1"/>
      <w:shd w:color="auto" w:fill="edf6f9" w:val="clear"/>
    </w:tblPr>
    <w:tcPr>
      <w:shd w:color="auto" w:fill="edf6f9" w:val="clear"/>
    </w:tcPr>
    <w:tblStylePr w:type="firstRow">
      <w:rPr>
        <w:b w:val="1"/>
        <w:bCs w:val="1"/>
        <w:color w:val="ffffff"/>
      </w:rPr>
      <w:tblPr/>
      <w:tcPr>
        <w:tcBorders>
          <w:bottom w:color="ffffff" w:space="0" w:sz="12" w:val="single"/>
        </w:tcBorders>
        <w:shd w:color="auto" w:fill="f2730a" w:val="clear"/>
      </w:tcPr>
    </w:tblStylePr>
    <w:tblStylePr w:type="lastRow">
      <w:rPr>
        <w:b w:val="1"/>
        <w:bCs w:val="1"/>
        <w:color w:val="f2730a"/>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val="clear"/>
      </w:tcPr>
    </w:tblStylePr>
    <w:tblStylePr w:type="band1Horz">
      <w:tblPr/>
      <w:tcPr>
        <w:shd w:color="auto" w:fill="daeef3" w:val="clear"/>
      </w:tcPr>
    </w:tblStylePr>
  </w:style>
  <w:style w:type="table" w:styleId="ColorfulList-Accent6">
    <w:name w:val="Colorful List Accent 6"/>
    <w:basedOn w:val="TableNormal"/>
    <w:uiPriority w:val="72"/>
    <w:pPr>
      <w:spacing w:after="0" w:line="240" w:lineRule="auto"/>
    </w:pPr>
    <w:rPr>
      <w:color w:val="000000"/>
    </w:rPr>
    <w:tblPr>
      <w:tblStyleRowBandSize w:val="1"/>
      <w:tblStyleColBandSize w:val="1"/>
      <w:shd w:color="auto" w:fill="fef4ec" w:val="clear"/>
    </w:tblPr>
    <w:tcPr>
      <w:shd w:color="auto" w:fill="fef4ec" w:val="clear"/>
    </w:tcPr>
    <w:tblStylePr w:type="firstRow">
      <w:rPr>
        <w:b w:val="1"/>
        <w:bCs w:val="1"/>
        <w:color w:val="ffffff"/>
      </w:rPr>
      <w:tblPr/>
      <w:tcPr>
        <w:tcBorders>
          <w:bottom w:color="ffffff" w:space="0" w:sz="12" w:val="single"/>
        </w:tcBorders>
        <w:shd w:color="auto" w:fill="348da5" w:val="clear"/>
      </w:tcPr>
    </w:tblStylePr>
    <w:tblStylePr w:type="lastRow">
      <w:rPr>
        <w:b w:val="1"/>
        <w:bCs w:val="1"/>
        <w:color w:val="348da5"/>
      </w:rPr>
      <w:tblPr/>
      <w:tcPr>
        <w:tcBorders>
          <w:top w:color="000000" w:space="0" w:sz="12" w:val="single"/>
        </w:tcBorders>
        <w:shd w:color="auto" w:fill="ffffff"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val="clear"/>
      </w:tcPr>
    </w:tblStylePr>
    <w:tblStylePr w:type="band1Horz">
      <w:tblPr/>
      <w:tcPr>
        <w:shd w:color="auto" w:fill="fde9d9" w:val="clear"/>
      </w:tcPr>
    </w:tblStylePr>
  </w:style>
  <w:style w:type="table" w:styleId="ColorfulGrid">
    <w:name w:val="Colorful Grid"/>
    <w:basedOn w:val="TableNormal"/>
    <w:uiPriority w:val="73"/>
    <w:pPr>
      <w:spacing w:after="0" w:line="240" w:lineRule="auto"/>
    </w:pPr>
    <w:rPr>
      <w:color w:val="000000"/>
    </w:rPr>
    <w:tblPr>
      <w:tblStyleRowBandSize w:val="1"/>
      <w:tblStyleColBandSize w:val="1"/>
      <w:tblBorders>
        <w:insideH w:color="ffffff" w:space="0" w:sz="4" w:val="single"/>
      </w:tblBorders>
      <w:shd w:color="auto" w:fill="cccccc" w:val="clear"/>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table" w:styleId="ColorfulGrid-Accent1">
    <w:name w:val="Colorful Grid Accent 1"/>
    <w:basedOn w:val="TableNormal"/>
    <w:uiPriority w:val="73"/>
    <w:pPr>
      <w:spacing w:after="0" w:line="240" w:lineRule="auto"/>
    </w:pPr>
    <w:rPr>
      <w:color w:val="000000"/>
    </w:rPr>
    <w:tblPr>
      <w:tblStyleRowBandSize w:val="1"/>
      <w:tblStyleColBandSize w:val="1"/>
      <w:tblBorders>
        <w:insideH w:color="ffffff" w:space="0" w:sz="4" w:val="single"/>
      </w:tblBorders>
      <w:shd w:color="auto" w:fill="dbe5f1" w:val="clear"/>
    </w:tblPr>
    <w:tcPr>
      <w:shd w:color="auto" w:fill="dbe5f1" w:val="clear"/>
    </w:tcPr>
    <w:tblStylePr w:type="firstRow">
      <w:rPr>
        <w:b w:val="1"/>
        <w:bCs w:val="1"/>
      </w:rPr>
      <w:tblPr/>
      <w:tcPr>
        <w:shd w:color="auto" w:fill="b8cce4" w:val="clear"/>
      </w:tcPr>
    </w:tblStylePr>
    <w:tblStylePr w:type="lastRow">
      <w:rPr>
        <w:b w:val="1"/>
        <w:bCs w:val="1"/>
        <w:color w:val="000000"/>
      </w:rPr>
      <w:tblPr/>
      <w:tcPr>
        <w:shd w:color="auto" w:fill="b8cce4" w:val="clear"/>
      </w:tcPr>
    </w:tblStylePr>
    <w:tblStylePr w:type="firstCol">
      <w:rPr>
        <w:color w:val="ffffff"/>
      </w:rPr>
      <w:tblPr/>
      <w:tcPr>
        <w:shd w:color="auto" w:fill="365f91" w:val="clear"/>
      </w:tcPr>
    </w:tblStylePr>
    <w:tblStylePr w:type="lastCol">
      <w:rPr>
        <w:color w:val="ffffff"/>
      </w:rPr>
      <w:tblPr/>
      <w:tcPr>
        <w:shd w:color="auto" w:fill="365f91" w:val="clear"/>
      </w:tcPr>
    </w:tblStylePr>
    <w:tblStylePr w:type="band1Vert">
      <w:tblPr/>
      <w:tcPr>
        <w:shd w:color="auto" w:fill="a7bfde" w:val="clear"/>
      </w:tcPr>
    </w:tblStylePr>
    <w:tblStylePr w:type="band1Horz">
      <w:tblPr/>
      <w:tcPr>
        <w:shd w:color="auto" w:fill="a7bfde" w:val="clear"/>
      </w:tcPr>
    </w:tblStylePr>
  </w:style>
  <w:style w:type="table" w:styleId="ColorfulGrid-Accent2">
    <w:name w:val="Colorful Grid Accent 2"/>
    <w:basedOn w:val="TableNormal"/>
    <w:uiPriority w:val="73"/>
    <w:pPr>
      <w:spacing w:after="0" w:line="240" w:lineRule="auto"/>
    </w:pPr>
    <w:rPr>
      <w:color w:val="000000"/>
    </w:rPr>
    <w:tblPr>
      <w:tblStyleRowBandSize w:val="1"/>
      <w:tblStyleColBandSize w:val="1"/>
      <w:tblBorders>
        <w:insideH w:color="ffffff" w:space="0" w:sz="4" w:val="single"/>
      </w:tblBorders>
      <w:shd w:color="auto" w:fill="f2dbdb" w:val="clear"/>
    </w:tblPr>
    <w:tcPr>
      <w:shd w:color="auto" w:fill="f2dbdb" w:val="clear"/>
    </w:tcPr>
    <w:tblStylePr w:type="firstRow">
      <w:rPr>
        <w:b w:val="1"/>
        <w:bCs w:val="1"/>
      </w:rPr>
      <w:tblPr/>
      <w:tcPr>
        <w:shd w:color="auto" w:fill="e5b8b7" w:val="clear"/>
      </w:tcPr>
    </w:tblStylePr>
    <w:tblStylePr w:type="lastRow">
      <w:rPr>
        <w:b w:val="1"/>
        <w:bCs w:val="1"/>
        <w:color w:val="000000"/>
      </w:rPr>
      <w:tblPr/>
      <w:tcPr>
        <w:shd w:color="auto" w:fill="e5b8b7" w:val="clear"/>
      </w:tcPr>
    </w:tblStylePr>
    <w:tblStylePr w:type="firstCol">
      <w:rPr>
        <w:color w:val="ffffff"/>
      </w:rPr>
      <w:tblPr/>
      <w:tcPr>
        <w:shd w:color="auto" w:fill="943634" w:val="clear"/>
      </w:tcPr>
    </w:tblStylePr>
    <w:tblStylePr w:type="lastCol">
      <w:rPr>
        <w:color w:val="ffffff"/>
      </w:rPr>
      <w:tblPr/>
      <w:tcPr>
        <w:shd w:color="auto" w:fill="943634" w:val="clear"/>
      </w:tcPr>
    </w:tblStylePr>
    <w:tblStylePr w:type="band1Vert">
      <w:tblPr/>
      <w:tcPr>
        <w:shd w:color="auto" w:fill="dfa7a6" w:val="clear"/>
      </w:tcPr>
    </w:tblStylePr>
    <w:tblStylePr w:type="band1Horz">
      <w:tblPr/>
      <w:tcPr>
        <w:shd w:color="auto" w:fill="dfa7a6" w:val="clear"/>
      </w:tcPr>
    </w:tblStylePr>
  </w:style>
  <w:style w:type="table" w:styleId="ColorfulGrid-Accent3">
    <w:name w:val="Colorful Grid Accent 3"/>
    <w:basedOn w:val="TableNormal"/>
    <w:uiPriority w:val="73"/>
    <w:pPr>
      <w:spacing w:after="0" w:line="240" w:lineRule="auto"/>
    </w:pPr>
    <w:rPr>
      <w:color w:val="000000"/>
    </w:rPr>
    <w:tblPr>
      <w:tblStyleRowBandSize w:val="1"/>
      <w:tblStyleColBandSize w:val="1"/>
      <w:tblBorders>
        <w:insideH w:color="ffffff" w:space="0" w:sz="4" w:val="single"/>
      </w:tblBorders>
      <w:shd w:color="auto" w:fill="eaf1dd" w:val="clear"/>
    </w:tblPr>
    <w:tcPr>
      <w:shd w:color="auto" w:fill="eaf1dd" w:val="clear"/>
    </w:tcPr>
    <w:tblStylePr w:type="firstRow">
      <w:rPr>
        <w:b w:val="1"/>
        <w:bCs w:val="1"/>
      </w:rPr>
      <w:tblPr/>
      <w:tcPr>
        <w:shd w:color="auto" w:fill="d6e3bc" w:val="clear"/>
      </w:tcPr>
    </w:tblStylePr>
    <w:tblStylePr w:type="lastRow">
      <w:rPr>
        <w:b w:val="1"/>
        <w:bCs w:val="1"/>
        <w:color w:val="000000"/>
      </w:rPr>
      <w:tblPr/>
      <w:tcPr>
        <w:shd w:color="auto" w:fill="d6e3bc" w:val="clear"/>
      </w:tcPr>
    </w:tblStylePr>
    <w:tblStylePr w:type="firstCol">
      <w:rPr>
        <w:color w:val="ffffff"/>
      </w:rPr>
      <w:tblPr/>
      <w:tcPr>
        <w:shd w:color="auto" w:fill="76923c" w:val="clear"/>
      </w:tcPr>
    </w:tblStylePr>
    <w:tblStylePr w:type="lastCol">
      <w:rPr>
        <w:color w:val="ffffff"/>
      </w:rPr>
      <w:tblPr/>
      <w:tcPr>
        <w:shd w:color="auto" w:fill="76923c" w:val="clear"/>
      </w:tcPr>
    </w:tblStylePr>
    <w:tblStylePr w:type="band1Vert">
      <w:tblPr/>
      <w:tcPr>
        <w:shd w:color="auto" w:fill="cdddac" w:val="clear"/>
      </w:tcPr>
    </w:tblStylePr>
    <w:tblStylePr w:type="band1Horz">
      <w:tblPr/>
      <w:tcPr>
        <w:shd w:color="auto" w:fill="cdddac" w:val="clear"/>
      </w:tcPr>
    </w:tblStylePr>
  </w:style>
  <w:style w:type="table" w:styleId="ColorfulGrid-Accent4">
    <w:name w:val="Colorful Grid Accent 4"/>
    <w:basedOn w:val="TableNormal"/>
    <w:uiPriority w:val="73"/>
    <w:pPr>
      <w:spacing w:after="0" w:line="240" w:lineRule="auto"/>
    </w:pPr>
    <w:rPr>
      <w:color w:val="000000"/>
    </w:rPr>
    <w:tblPr>
      <w:tblStyleRowBandSize w:val="1"/>
      <w:tblStyleColBandSize w:val="1"/>
      <w:tblBorders>
        <w:insideH w:color="ffffff" w:space="0" w:sz="4" w:val="single"/>
      </w:tblBorders>
      <w:shd w:color="auto" w:fill="e5dfec" w:val="clear"/>
    </w:tblPr>
    <w:tcPr>
      <w:shd w:color="auto" w:fill="e5dfec" w:val="clear"/>
    </w:tcPr>
    <w:tblStylePr w:type="firstRow">
      <w:rPr>
        <w:b w:val="1"/>
        <w:bCs w:val="1"/>
      </w:rPr>
      <w:tblPr/>
      <w:tcPr>
        <w:shd w:color="auto" w:fill="ccc0d9" w:val="clear"/>
      </w:tcPr>
    </w:tblStylePr>
    <w:tblStylePr w:type="lastRow">
      <w:rPr>
        <w:b w:val="1"/>
        <w:bCs w:val="1"/>
        <w:color w:val="000000"/>
      </w:rPr>
      <w:tblPr/>
      <w:tcPr>
        <w:shd w:color="auto" w:fill="ccc0d9" w:val="clear"/>
      </w:tcPr>
    </w:tblStylePr>
    <w:tblStylePr w:type="firstCol">
      <w:rPr>
        <w:color w:val="ffffff"/>
      </w:rPr>
      <w:tblPr/>
      <w:tcPr>
        <w:shd w:color="auto" w:fill="5f497a" w:val="clear"/>
      </w:tcPr>
    </w:tblStylePr>
    <w:tblStylePr w:type="lastCol">
      <w:rPr>
        <w:color w:val="ffffff"/>
      </w:rPr>
      <w:tblPr/>
      <w:tcPr>
        <w:shd w:color="auto" w:fill="5f497a" w:val="clear"/>
      </w:tcPr>
    </w:tblStylePr>
    <w:tblStylePr w:type="band1Vert">
      <w:tblPr/>
      <w:tcPr>
        <w:shd w:color="auto" w:fill="bfb1d0" w:val="clear"/>
      </w:tcPr>
    </w:tblStylePr>
    <w:tblStylePr w:type="band1Horz">
      <w:tblPr/>
      <w:tcPr>
        <w:shd w:color="auto" w:fill="bfb1d0" w:val="clear"/>
      </w:tcPr>
    </w:tblStylePr>
  </w:style>
  <w:style w:type="table" w:styleId="ColorfulGrid-Accent5">
    <w:name w:val="Colorful Grid Accent 5"/>
    <w:basedOn w:val="TableNormal"/>
    <w:uiPriority w:val="73"/>
    <w:pPr>
      <w:spacing w:after="0" w:line="240" w:lineRule="auto"/>
    </w:pPr>
    <w:rPr>
      <w:color w:val="000000"/>
    </w:rPr>
    <w:tblPr>
      <w:tblStyleRowBandSize w:val="1"/>
      <w:tblStyleColBandSize w:val="1"/>
      <w:tblBorders>
        <w:insideH w:color="ffffff" w:space="0" w:sz="4" w:val="single"/>
      </w:tblBorders>
      <w:shd w:color="auto" w:fill="daeef3" w:val="clear"/>
    </w:tblPr>
    <w:tcPr>
      <w:shd w:color="auto" w:fill="daeef3" w:val="clear"/>
    </w:tcPr>
    <w:tblStylePr w:type="firstRow">
      <w:rPr>
        <w:b w:val="1"/>
        <w:bCs w:val="1"/>
      </w:rPr>
      <w:tblPr/>
      <w:tcPr>
        <w:shd w:color="auto" w:fill="b6dde8" w:val="clear"/>
      </w:tcPr>
    </w:tblStylePr>
    <w:tblStylePr w:type="lastRow">
      <w:rPr>
        <w:b w:val="1"/>
        <w:bCs w:val="1"/>
        <w:color w:val="000000"/>
      </w:rPr>
      <w:tblPr/>
      <w:tcPr>
        <w:shd w:color="auto" w:fill="b6dde8" w:val="clear"/>
      </w:tcPr>
    </w:tblStylePr>
    <w:tblStylePr w:type="firstCol">
      <w:rPr>
        <w:color w:val="ffffff"/>
      </w:rPr>
      <w:tblPr/>
      <w:tcPr>
        <w:shd w:color="auto" w:fill="31849b" w:val="clear"/>
      </w:tcPr>
    </w:tblStylePr>
    <w:tblStylePr w:type="lastCol">
      <w:rPr>
        <w:color w:val="ffffff"/>
      </w:rPr>
      <w:tblPr/>
      <w:tcPr>
        <w:shd w:color="auto" w:fill="31849b" w:val="clear"/>
      </w:tcPr>
    </w:tblStylePr>
    <w:tblStylePr w:type="band1Vert">
      <w:tblPr/>
      <w:tcPr>
        <w:shd w:color="auto" w:fill="a5d5e2" w:val="clear"/>
      </w:tcPr>
    </w:tblStylePr>
    <w:tblStylePr w:type="band1Horz">
      <w:tblPr/>
      <w:tcPr>
        <w:shd w:color="auto" w:fill="a5d5e2" w:val="clear"/>
      </w:tcPr>
    </w:tblStylePr>
  </w:style>
  <w:style w:type="table" w:styleId="ColorfulGrid-Accent6">
    <w:name w:val="Colorful Grid Accent 6"/>
    <w:basedOn w:val="TableNormal"/>
    <w:uiPriority w:val="73"/>
    <w:pPr>
      <w:spacing w:after="0" w:line="240" w:lineRule="auto"/>
    </w:pPr>
    <w:rPr>
      <w:color w:val="000000"/>
    </w:rPr>
    <w:tblPr>
      <w:tblStyleRowBandSize w:val="1"/>
      <w:tblStyleColBandSize w:val="1"/>
      <w:tblBorders>
        <w:insideH w:color="ffffff" w:space="0" w:sz="4" w:val="single"/>
      </w:tblBorders>
      <w:shd w:color="auto" w:fill="fde9d9" w:val="clear"/>
    </w:tblPr>
    <w:tcPr>
      <w:shd w:color="auto" w:fill="fde9d9" w:val="clear"/>
    </w:tcPr>
    <w:tblStylePr w:type="firstRow">
      <w:rPr>
        <w:b w:val="1"/>
        <w:bCs w:val="1"/>
      </w:rPr>
      <w:tblPr/>
      <w:tcPr>
        <w:shd w:color="auto" w:fill="fbd4b4" w:val="clear"/>
      </w:tcPr>
    </w:tblStylePr>
    <w:tblStylePr w:type="lastRow">
      <w:rPr>
        <w:b w:val="1"/>
        <w:bCs w:val="1"/>
        <w:color w:val="000000"/>
      </w:rPr>
      <w:tblPr/>
      <w:tcPr>
        <w:shd w:color="auto" w:fill="fbd4b4" w:val="clear"/>
      </w:tcPr>
    </w:tblStylePr>
    <w:tblStylePr w:type="firstCol">
      <w:rPr>
        <w:color w:val="ffffff"/>
      </w:rPr>
      <w:tblPr/>
      <w:tcPr>
        <w:shd w:color="auto" w:fill="e36c0a" w:val="clear"/>
      </w:tcPr>
    </w:tblStylePr>
    <w:tblStylePr w:type="lastCol">
      <w:rPr>
        <w:color w:val="ffffff"/>
      </w:rPr>
      <w:tblPr/>
      <w:tcPr>
        <w:shd w:color="auto" w:fill="e36c0a" w:val="clear"/>
      </w:tcPr>
    </w:tblStylePr>
    <w:tblStylePr w:type="band1Vert">
      <w:tblPr/>
      <w:tcPr>
        <w:shd w:color="auto" w:fill="fbcaa2" w:val="clear"/>
      </w:tcPr>
    </w:tblStylePr>
    <w:tblStylePr w:type="band1Horz">
      <w:tblPr/>
      <w:tcPr>
        <w:shd w:color="auto" w:fill="fbcaa2"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doi.org/10.5382/econgeo.5166" TargetMode="Externa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PsGS1VEaItvx2uzbBW5IYS7nFA==">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2025-09-24T01:22:00Z</dcterms:created>
  <dc:creator>python-docx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5a49f051bc36477aa2d389628d4f08ca</vt:lpwstr>
  </property>
</Properties>
</file>