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unit-11-reflection"/>
    <w:p>
      <w:pPr>
        <w:pStyle w:val="Heading1"/>
      </w:pPr>
      <w:r>
        <w:t xml:space="preserve">Unit 11 Reflection</w:t>
      </w:r>
    </w:p>
    <w:bookmarkStart w:id="9" w:name="what"/>
    <w:p>
      <w:pPr>
        <w:pStyle w:val="Heading2"/>
      </w:pPr>
      <w:r>
        <w:t xml:space="preserve">what</w:t>
      </w:r>
    </w:p>
    <w:p>
      <w:pPr>
        <w:pStyle w:val="FirstParagraph"/>
      </w:pPr>
      <w:r>
        <w:t xml:space="preserve">Grounding in the high-level architecture proposed in the team project report, I found that additional technical detail was necessary before implementation could begin. To bridge this gap, I adopted the BDI (Belief-Desire-Intention) architecture to model the multi-agent academic investigator. I selected BDI because its reasoning process resembles human decision-making through the concepts of beliefs, desires, and intentions. This approach helped me define clear responsibilities and goals for each agent, making it easier to reason about how individual agent behaviors contribute to the overall system requirements. The BDI model served as a foundation for the technical design phase, allowing me to identify the main system components and specify their interactions.</w:t>
      </w:r>
    </w:p>
    <w:p>
      <w:pPr>
        <w:pStyle w:val="BodyText"/>
      </w:pPr>
      <w:r>
        <w:t xml:space="preserve">Once the technical design was established, I began implementation using the LangGraph ecosystem. Tools such as the orchestrator runtime, CLI, and LangSmith significantly improved the development experience by enabling rapid testing, workflow visualization, and debugging.</w:t>
      </w:r>
    </w:p>
    <w:bookmarkEnd w:id="9"/>
    <w:bookmarkStart w:id="10" w:name="so-what"/>
    <w:p>
      <w:pPr>
        <w:pStyle w:val="Heading2"/>
      </w:pPr>
      <w:r>
        <w:t xml:space="preserve">So what</w:t>
      </w:r>
    </w:p>
    <w:p>
      <w:pPr>
        <w:pStyle w:val="FirstParagraph"/>
      </w:pPr>
      <w:r>
        <w:t xml:space="preserve">During development, I deliberately made several technical decisions to keep the agents simple and establish a minimum viable product (MVP). Once the core functionality was validated, I progressively introduced more robust logic to handle edge cases and improve overall reliability.</w:t>
      </w:r>
    </w:p>
    <w:p>
      <w:pPr>
        <w:pStyle w:val="BodyText"/>
      </w:pPr>
      <w:r>
        <w:t xml:space="preserve">One such decision was to make the paper retrieval process fully deterministic. This approach improves reliability, predictability, and efficiency because it minimizes unnecessary invocations of rate-limited APIs and ensures consistent behavior across executions. However, it also results in a largely hard-coded retrieval strategy, where the same search logic is applied regardless of the research question or academic domain. As a consequence, the system lacks adaptability to the specific characteristics of different fields of study.</w:t>
      </w:r>
    </w:p>
    <w:p>
      <w:pPr>
        <w:pStyle w:val="BodyText"/>
      </w:pPr>
      <w:r>
        <w:t xml:space="preserve">For example, a search strategy for quantum computing should ideally prioritize highly regarded specialist venues such as PRX Quantum and determine appropriate thresholds for recency, citation counts, and reference analysis according to the topic being investigated. A similar strategy would be inappropriate for emerging fields, where recent publications may be more valuable than highly cited papers.</w:t>
      </w:r>
      <w:r>
        <w:t xml:space="preserve"> </w:t>
      </w:r>
      <w:r>
        <w:t xml:space="preserve">Future work will explore the development of an LLM-based retrieval skill capable of dynamically selecting and adapting search strategies across multiple academic databases. Rather than relying on predefined rules, the skill could learn domain-specific retrieval heuristics, including source prioritization, citation analysis, recency requirements, and query reformulation. This would enable the retrieval process to better align with the characteristics of a given research domain and research question while maintaining efficiency and relevance.</w:t>
      </w:r>
    </w:p>
    <w:p>
      <w:pPr>
        <w:pStyle w:val="BodyText"/>
      </w:pPr>
      <w:r>
        <w:t xml:space="preserve">As anticipated during the design phase, working with LLMs presented several implementation challenges. Their probabilistic nature and tendency to hallucinate required multiple adjustments to the agents’ logic. Initially, I expected that providing clear instructions would be sufficient, but I soon learned that achieving reliable behavior required more than simply assigning tasks to an LLM.</w:t>
      </w:r>
    </w:p>
    <w:p>
      <w:pPr>
        <w:pStyle w:val="BodyText"/>
      </w:pPr>
      <w:r>
        <w:t xml:space="preserve">To improve output consistency, I applied prompt engineering techniques such as providing detailed instructions, assigning the model the role of a domain expert with clearly defined objectives, and including examples of the desired outputs. These strategies were effective in most cases and highlighted the importance of carefully designing the interaction between agents and LLMs rather than relying solely on the model’s general capabilities.</w:t>
      </w:r>
    </w:p>
    <w:p>
      <w:pPr>
        <w:pStyle w:val="BodyText"/>
      </w:pPr>
      <w:r>
        <w:t xml:space="preserve">However, some hallucinations still occurred despite these improvements. To address this issue, I used a LangGraph wrapper that constrains the model’s responses to a predefined schema. This schema acts as a guardrail by ensuring that outputs follow a specific structure and reducing conversational filler or off-topic responses.</w:t>
      </w:r>
    </w:p>
    <w:p>
      <w:pPr>
        <w:pStyle w:val="BodyText"/>
      </w:pPr>
      <w:r>
        <w:t xml:space="preserve">I selected the Semantic Scholar API to retrieve academic papers. While the API was straightforward to integrate, its rate limits drove me to frustration during development and testing, as I needed to wait until the API was available to resume my tests. To overcome this limitation, I implemented a mock service for integration testing while reserving the real API for functional testing. This solution accelerated development, reduced dependency on external services, and made development much more enjoyable. From this experience, I learned the value of designing systems with testability in mind and the importance of isolating external dependencies to improve productivity and reliability during software development.</w:t>
      </w:r>
    </w:p>
    <w:bookmarkEnd w:id="10"/>
    <w:bookmarkStart w:id="11" w:name="now-what"/>
    <w:p>
      <w:pPr>
        <w:pStyle w:val="Heading2"/>
      </w:pPr>
      <w:r>
        <w:t xml:space="preserve">Now what</w:t>
      </w:r>
    </w:p>
    <w:p>
      <w:pPr>
        <w:pStyle w:val="FirstParagraph"/>
      </w:pPr>
      <w:r>
        <w:t xml:space="preserve">Through this project, I learned that translating a conceptual architecture into an implementable design requires explicit modeling of agent responsibilities and communication patterns. Techniques such as BDI agent modeling and UML diagrams, particularly sequence diagrams, were valuable for refining the design and identifying system interactions before implementation. Without this level of detail, implementation decisions become more difficult and can lead to inconsistencies between the intended architecture and the resulting system.</w:t>
      </w:r>
    </w:p>
    <w:p>
      <w:pPr>
        <w:pStyle w:val="BodyText"/>
      </w:pPr>
      <w:r>
        <w:t xml:space="preserve">Initially, I assumed that developing an LLM-based multi-agent system would be similar to developing a traditional deterministic software system. However, through implementation, I realized that LLM-powered agents introduce unique challenges due to non-deterministic outputs and the emergent behavior that can arise from agent collaboration. This experience highlighted the importance of observability tools, such as workflow tracing and visualization platforms, that enable developers to monitor, understand, and debug agent interactions. As multi-agent workflows increase in complexity, gaining visibility into agent decisions, message exchanges, and LLM outputs becomes essential for ensuring reliable system behavior. Consequently, I learned that observability is not merely a debugging aid but a fundamental requirement for developing robust agentic systems. In future projects, I would prioritize capabilities such as LangSmith, which I began exploring during this unit, from the very beginning rather than introducing them later in the development process.</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2026-10-19T21:14:21Z</dcterms:created>
  <dcterms:modified xsi:type="dcterms:W3CDTF">2026-10-19T21:14:21Z</dcterms:modified>
</cp:coreProperties>
</file>

<file path=docProps/custom.xml><?xml version="1.0" encoding="utf-8"?>
<Properties xmlns="http://schemas.openxmlformats.org/officeDocument/2006/custom-properties" xmlns:vt="http://schemas.openxmlformats.org/officeDocument/2006/docPropsVTypes"/>
</file>