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unit-2-reflection"/>
    <w:p>
      <w:pPr>
        <w:pStyle w:val="Heading1"/>
      </w:pPr>
      <w:r>
        <w:t xml:space="preserve">Unit 2 Reflection</w:t>
      </w:r>
    </w:p>
    <w:bookmarkStart w:id="9" w:name="what"/>
    <w:p>
      <w:pPr>
        <w:pStyle w:val="Heading2"/>
      </w:pPr>
      <w:r>
        <w:t xml:space="preserve">What</w:t>
      </w:r>
    </w:p>
    <w:p>
      <w:pPr>
        <w:pStyle w:val="FirstParagraph"/>
      </w:pPr>
      <w:r>
        <w:t xml:space="preserve">Agents’ reasoning capability depends on how knowledge is represented. Knowledge representation languages allow agents to encode assertions about the world in a form that can be processed and reasoned over.</w:t>
      </w:r>
    </w:p>
    <w:p>
      <w:pPr>
        <w:pStyle w:val="BodyText"/>
      </w:pPr>
      <w:r>
        <w:t xml:space="preserve">First-order logic (FOL) emerged to overcome the limitations of propositional logic. While propositional logic represents only facts as atomic statements, FOL explicitly represents objects, properties, and relationships, providing much greater expressive power.</w:t>
      </w:r>
      <w:r>
        <w:t xml:space="preserve"> </w:t>
      </w:r>
      <w:r>
        <w:t xml:space="preserve">However, FOL alone cannot adequately model uncertainty, temporal information, or vagueness. Additional formalisms such as temporal logic, probability theory, and fuzzy logic are often required.</w:t>
      </w:r>
    </w:p>
    <w:bookmarkEnd w:id="9"/>
    <w:bookmarkStart w:id="10" w:name="so-what"/>
    <w:p>
      <w:pPr>
        <w:pStyle w:val="Heading2"/>
      </w:pPr>
      <w:r>
        <w:t xml:space="preserve">So What</w:t>
      </w:r>
    </w:p>
    <w:p>
      <w:pPr>
        <w:pStyle w:val="FirstParagraph"/>
      </w:pPr>
      <w:r>
        <w:t xml:space="preserve">This unit demonstrated that intelligent behaviour depends not only on reasoning algorithms but also on how knowledge is represented. FOL provides a formal foundation for representing domain knowledge and enables agents to derive new knowledge through logical inference.</w:t>
      </w:r>
      <w:r>
        <w:t xml:space="preserve"> </w:t>
      </w:r>
      <w:r>
        <w:t xml:space="preserve">The topic also highlighted that no single knowledge representation is sufficient for all problems. Different applications require different formalisms depending on whether the focus is on certainty, time, uncertainty, or approximate reasoning (zanabeet).</w:t>
      </w:r>
    </w:p>
    <w:p>
      <w:pPr>
        <w:pStyle w:val="BodyText"/>
      </w:pPr>
      <w:r>
        <w:t xml:space="preserve">I found this topic particularly interesting because it revealed the logical foundations behind intelligent agents and modern AI systems. It also challenged my assumption that a single logical framework could represent all forms of human knowledge.</w:t>
      </w:r>
    </w:p>
    <w:bookmarkEnd w:id="10"/>
    <w:bookmarkStart w:id="11" w:name="now-what"/>
    <w:p>
      <w:pPr>
        <w:pStyle w:val="Heading2"/>
      </w:pPr>
      <w:r>
        <w:t xml:space="preserve">Now What</w:t>
      </w:r>
    </w:p>
    <w:p>
      <w:pPr>
        <w:pStyle w:val="FirstParagraph"/>
      </w:pPr>
      <w:r>
        <w:t xml:space="preserve">A key insight was understanding the distinction between Knowledge Engineering (KE) and Software Engineering (SE). While both model aspects of a domain, their objectives differ. SE focuses on building systems that perform computations, whereas KE focuses on representing knowledge in a form that supports machine reasoning.</w:t>
      </w:r>
    </w:p>
    <w:p>
      <w:pPr>
        <w:pStyle w:val="BodyText"/>
      </w:pPr>
      <w:r>
        <w:t xml:space="preserve">Software models such as UML and ER diagrams primarily support design and communication among developers. In contrast, knowledge representations such as ontologies and FOL capture explicit semantics that can be interpreted by reasoning systems to derive new knowledge and support decision-making at runtime.</w:t>
      </w:r>
    </w:p>
    <w:p>
      <w:pPr>
        <w:pStyle w:val="BodyText"/>
      </w:pPr>
      <w:r>
        <w:t xml:space="preserve">This unit changed my perspective on knowledge representation from a theoretical concept to a practical mechanism that enables explainable and intelligent behaviour in AI systems.</w:t>
      </w:r>
    </w:p>
    <w:p>
      <w:pPr>
        <w:pStyle w:val="BodyText"/>
      </w:pPr>
      <w:r>
        <w:t xml:space="preserve">The concepts learned in this unit will help me understand modern AI technologies such as knowledge graphs and the Semantic Web. In particular, I am interested in combining knowledge graphs with LLMs to improve factual grounding, reduce hallucinations, and increase the explainability of AI-generated responses.</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2026-10-19T20:13:59Z</dcterms:created>
  <dcterms:modified xsi:type="dcterms:W3CDTF">2026-10-19T20:13:59Z</dcterms:modified>
</cp:coreProperties>
</file>

<file path=docProps/custom.xml><?xml version="1.0" encoding="utf-8"?>
<Properties xmlns="http://schemas.openxmlformats.org/officeDocument/2006/custom-properties" xmlns:vt="http://schemas.openxmlformats.org/officeDocument/2006/docPropsVTypes"/>
</file>