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02BBF914" w:rsidR="007A4B26" w:rsidRDefault="007A4B26" w:rsidP="007A4B26">
      <w:pPr>
        <w:pStyle w:val="Ttulo1"/>
        <w:spacing w:line="240" w:lineRule="auto"/>
      </w:pPr>
      <w:r>
        <w:t xml:space="preserve">Formato </w:t>
      </w:r>
      <w:r w:rsidR="00875FFB">
        <w:t>11</w:t>
      </w:r>
      <w:r>
        <w:t>:</w:t>
      </w:r>
    </w:p>
    <w:p w14:paraId="1ED54D48" w14:textId="547161E0" w:rsidR="00C95537" w:rsidRDefault="00875FFB" w:rsidP="007A4B26">
      <w:pPr>
        <w:pStyle w:val="Ttulo1"/>
        <w:spacing w:before="0" w:after="240"/>
      </w:pPr>
      <w:r>
        <w:t>Arquitectura del sistema</w:t>
      </w:r>
    </w:p>
    <w:p w14:paraId="07031711" w14:textId="7218F354" w:rsidR="007A4B26" w:rsidRPr="007A4B26" w:rsidRDefault="007A4B26" w:rsidP="007A4B26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Plataforma SaaS multiempresa de reclutamiento, evaluación y selección (línea base RF-01 a RF-27)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29/09/2026</w:t>
            </w:r>
          </w:p>
        </w:tc>
      </w:tr>
    </w:tbl>
    <w:p>
      <w:pPr>
        <w:spacing w:after="0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Regularización F11-R (29/09/2026): este documento vuelve a presentar sobre la </w:t>
            </w:r>
            <w:r>
              <w:rPr>
                <w:b/>
                <w:bCs/>
                <w:sz w:val="18"/>
                <w:szCs w:val="18"/>
              </w:rPr>
              <w:t xml:space="preserve">plantilla oficial del Formato 11</w:t>
            </w:r>
            <w:r>
              <w:rPr>
                <w:sz w:val="18"/>
                <w:szCs w:val="18"/>
              </w:rPr>
              <w:t xml:space="preserve"> la arquitectura conceptual elaborada en la F28 y formalizada en PowerDesigner en la F29. </w:t>
            </w:r>
            <w:r>
              <w:rPr>
                <w:b/>
                <w:bCs/>
                <w:sz w:val="18"/>
                <w:szCs w:val="18"/>
              </w:rPr>
              <w:t xml:space="preserve">No cambia la arquitectura</w:t>
            </w:r>
            <w:r>
              <w:rPr>
                <w:sz w:val="18"/>
                <w:szCs w:val="18"/>
              </w:rPr>
              <w:t xml:space="preserve">: los componentes, las relaciones R-01 a R-20 y el diagrama ARQ-01 son los mismos. El F11 adaptado anterior (hecho cuando la plantilla oficial no estaba disponible) se conserva como versión histórica.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 w14:paraId="5FEE9029" w14:textId="77777777" w:rsidR="00483D0D" w:rsidRDefault="00483D0D" w:rsidP="007A4B26">
      <w:pPr>
        <w:ind w:left="284"/>
      </w:pPr>
    </w:p>
    <w:p w14:paraId="5F761783" w14:textId="211FABF9" w:rsidR="007A4B26" w:rsidRPr="007A4B26" w:rsidRDefault="00875FFB" w:rsidP="007A4B26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sistema</w:t>
      </w:r>
    </w:p>
    <w:p w14:paraId="547D2831" w14:textId="1FD2F6F9" w:rsidR="00DB3D15" w:rsidRPr="00DB3D15" w:rsidRDefault="00875FFB" w:rsidP="00DB3D15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Propósito del sistema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Sistema:</w:t>
            </w:r>
            <w:r>
              <w:rPr>
                <w:sz w:val="18"/>
                <w:szCs w:val="18"/>
              </w:rPr>
              <w:t xml:space="preserve"> plataforma web SaaS multiempresa para gestionar el reclutamiento, la evaluación y la selección de personal. Caso de estudio académico: Colegio Andino de Huancayo.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Propósito:</w:t>
            </w:r>
            <w:r>
              <w:rPr>
                <w:sz w:val="18"/>
                <w:szCs w:val="18"/>
              </w:rPr>
              <w:t xml:space="preserve"> Gestionar de forma centralizada, trazable y multiempresa el ciclo de reclutamiento, evaluación y selección, con datos aislados por organización y la decisión final reservada a una persona autorizada.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Problema que atiende:</w:t>
            </w:r>
            <w:r>
              <w:rPr>
                <w:sz w:val="18"/>
                <w:szCs w:val="18"/>
              </w:rPr>
              <w:t xml:space="preserve"> Proceso de reclutamiento con información distribuida, seguimiento manual, evaluaciones heterogéneas, comunicación manual e indicadores limitados (P1–P5, AS-IS preliminar, F4).</w:t>
            </w:r>
          </w:p>
          <w:p>
            <w:pPr>
              <w:spacing w:after="60" w:line="264" w:lineRule="auto"/>
              <w:jc w:val="both"/>
            </w:pPr>
            <w:r>
              <w:rPr>
                <w:sz w:val="18"/>
                <w:szCs w:val="18"/>
              </w:rPr>
              <w:t xml:space="preserve">El sistema </w:t>
            </w:r>
            <w:r>
              <w:rPr>
                <w:b/>
                <w:bCs/>
                <w:sz w:val="18"/>
                <w:szCs w:val="18"/>
              </w:rPr>
              <w:t xml:space="preserve">calcula, ordena y compara</w:t>
            </w:r>
            <w:r>
              <w:rPr>
                <w:sz w:val="18"/>
                <w:szCs w:val="18"/>
              </w:rPr>
              <w:t xml:space="preserve">; nunca selecciona, descarta ni contrata automáticamente. 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64" w:lineRule="auto"/>
              <w:jc w:val="both"/>
            </w:pPr>
            <w:r>
              <w:rPr>
                <w:sz w:val="18"/>
                <w:szCs w:val="18"/>
              </w:rPr>
              <w:t xml:space="preserve">Estado: </w:t>
            </w:r>
            <w:r>
              <w:rPr>
                <w:b/>
                <w:bCs/>
                <w:sz w:val="18"/>
                <w:szCs w:val="18"/>
              </w:rPr>
              <w:t xml:space="preserve">SOFTWARE IMPLEMENTADO</w:t>
            </w:r>
            <w:r>
              <w:rPr>
                <w:sz w:val="18"/>
                <w:szCs w:val="18"/>
              </w:rPr>
              <w:t xml:space="preserve"> (plataforma v1.1, etiqueta v1.1.0-academic), salvo el componente experimental CMP-17. El AS-IS del que parte el análisis es </w:t>
            </w:r>
            <w:r>
              <w:rPr>
                <w:b/>
                <w:bCs/>
                <w:sz w:val="18"/>
                <w:szCs w:val="18"/>
              </w:rPr>
              <w:t xml:space="preserve">preliminar</w:t>
            </w:r>
            <w:r>
              <w:rPr>
                <w:sz w:val="18"/>
                <w:szCs w:val="18"/>
              </w:rPr>
              <w:t xml:space="preserve"> y no está validado por la institución.</w:t>
            </w:r>
          </w:p>
        </w:tc>
      </w:tr>
    </w:tbl>
    <w:p w14:paraId="2DEE91FB" w14:textId="16CFD75D" w:rsidR="00CC7CE9" w:rsidRDefault="00CC7CE9" w:rsidP="007A4B26">
      <w:pPr>
        <w:ind w:left="284"/>
      </w:pPr>
    </w:p>
    <w:p w14:paraId="2CF1F5BA" w14:textId="68EFF053" w:rsidR="00DB3D15" w:rsidRPr="00DB3D15" w:rsidRDefault="00875FFB" w:rsidP="00DB3D15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Alcance general.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Incluido (F9):</w:t>
            </w:r>
            <w:r>
              <w:rPr>
                <w:sz w:val="18"/>
                <w:szCs w:val="18"/>
              </w:rPr>
              <w:t xml:space="preserve"> IN-01 Requerimientos · IN-02 Vacantes · IN-03 Cuenta y postulación · IN-04 Seguimiento · IN-05 Evaluación y entrevista · IN-06 Comparación y ranking · IN-07 Decisión y cierre · IN-08 Auditoría.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Excluido (F9):</w:t>
            </w:r>
            <w:r>
              <w:rPr>
                <w:sz w:val="18"/>
                <w:szCs w:val="18"/>
              </w:rPr>
              <w:t xml:space="preserve"> Facturación, planes y superadministración SaaS (OUT-01 a OUT-03); selección automática por IA o ML (OUT-04); inferencia de idoneidad (OUT-05); banco de talentos (OUT-06); dashboards (OUT-07, RF-28 candidato); proveedores externos definitivos (OUT-08); infraestructura productiva (OUT-09); integraciones externas (OUT-10); uso productivo o decisorio de RF-29 (OUT-11).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Entorno:</w:t>
            </w:r>
            <w:r>
              <w:rPr>
                <w:sz w:val="18"/>
                <w:szCs w:val="18"/>
              </w:rPr>
              <w:t xml:space="preserve"> Aplicación web usada desde el navegador. Infraestructura de desarrollo, demostración y pruebas con Docker Compose; no es una plataforma productiva (F9, OUT-09).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Límites:</w:t>
            </w:r>
            <w:r>
              <w:rPr>
                <w:sz w:val="18"/>
                <w:szCs w:val="18"/>
              </w:rPr>
              <w:t xml:space="preserve"> Toda lectura y escritura empresarial respeta la organización. El postulante es global y solo ve lo suyo. Los componentes internos (controladores, servicios, colas, base de datos) no son actores.</w:t>
            </w:r>
          </w:p>
        </w:tc>
      </w:tr>
    </w:tbl>
    <w:p w14:paraId="6E92AC0C" w14:textId="51C93A99" w:rsidR="00DB3D15" w:rsidRDefault="00DB3D15" w:rsidP="00DB3D15">
      <w:pPr>
        <w:ind w:left="284"/>
      </w:pPr>
    </w:p>
    <w:p w14:paraId="4DC89DB2" w14:textId="1DCEE94E" w:rsidR="00DB3D15" w:rsidRPr="00DB3D15" w:rsidRDefault="0085569D" w:rsidP="00DB3D15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ACT-01 Área solicitante:</w:t>
            </w:r>
            <w:r>
              <w:rPr>
                <w:sz w:val="18"/>
                <w:szCs w:val="18"/>
              </w:rPr>
              <w:t xml:space="preserve"> Interno. Registra, envía y corrige requerimientos; recibe la notificación de rechazo.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ACT-02 Recursos Humanos:</w:t>
            </w:r>
            <w:r>
              <w:rPr>
                <w:sz w:val="18"/>
                <w:szCs w:val="18"/>
              </w:rPr>
              <w:t xml:space="preserve"> Interno. Valida requerimientos y gestiona vacantes, postulaciones, sesiones, selección y cierre. No toma la decisión final.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ACT-03 Aprobador / Dirección:</w:t>
            </w:r>
            <w:r>
              <w:rPr>
                <w:sz w:val="18"/>
                <w:szCs w:val="18"/>
              </w:rPr>
              <w:t xml:space="preserve"> Interno. Aprueba o rechaza requerimientos, consulta la comparación, </w:t>
            </w:r>
            <w:r>
              <w:rPr>
                <w:b/>
                <w:bCs/>
                <w:sz w:val="18"/>
                <w:szCs w:val="18"/>
              </w:rPr>
              <w:t xml:space="preserve">registra la decisión final humana</w:t>
            </w:r>
            <w:r>
              <w:rPr>
                <w:sz w:val="18"/>
                <w:szCs w:val="18"/>
              </w:rPr>
              <w:t xml:space="preserve"> y consulta la auditoría.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ACT-04 Postulante:</w:t>
            </w:r>
            <w:r>
              <w:rPr>
                <w:sz w:val="18"/>
                <w:szCs w:val="18"/>
              </w:rPr>
              <w:t xml:space="preserve"> Externo. Gestiona su cuenta, su perfil, su CV y sus postulaciones; recibe convocatorias, avisos y resultados propios.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ACT-05 Evaluador:</w:t>
            </w:r>
            <w:r>
              <w:rPr>
                <w:sz w:val="18"/>
                <w:szCs w:val="18"/>
              </w:rPr>
              <w:t xml:space="preserve"> Interno. Registra puntajes, resultado y observaciones de las sesiones que tiene asignadas.</w:t>
            </w:r>
          </w:p>
          <w:p>
            <w:pPr>
              <w:spacing w:after="60" w:line="264" w:lineRule="auto"/>
              <w:jc w:val="both"/>
            </w:pPr>
            <w:r>
              <w:rPr>
                <w:sz w:val="18"/>
                <w:szCs w:val="18"/>
              </w:rPr>
              <w:t xml:space="preserve">No hay superadministrador ni actores comerciales. Los componentes internos (controladores, servicios, colas, base de datos) no son actores.</w:t>
            </w:r>
          </w:p>
        </w:tc>
      </w:tr>
    </w:tbl>
    <w:p w14:paraId="7C5DCDD9" w14:textId="25D922AA" w:rsidR="00DB3D15" w:rsidRDefault="00DB3D15" w:rsidP="00DB3D15">
      <w:pPr>
        <w:rPr>
          <w:b/>
          <w:bCs/>
        </w:rPr>
      </w:pPr>
    </w:p>
    <w:p w14:paraId="38449912" w14:textId="6000D3BE" w:rsidR="0085569D" w:rsidRPr="00DB3D15" w:rsidRDefault="00875FFB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Relación con requerimientos y casos de uso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2FD39DA" w14:textId="77777777" w:rsidTr="00D128F1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Línea base funcional:</w:t>
            </w:r>
            <w:r>
              <w:rPr>
                <w:sz w:val="18"/>
                <w:szCs w:val="18"/>
              </w:rPr>
              <w:t xml:space="preserve"> RF-01 a RF-27 (Formato 06) y casos de uso CU-01 a CU-20 (Formato 08, catálogo aprobado). Cada componente de la sección 4 indica sus RF y CU. No se añaden ni se renumeran requerimientos ni casos de uso.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Acceso:</w:t>
            </w:r>
            <w:r>
              <w:rPr>
                <w:sz w:val="18"/>
                <w:szCs w:val="18"/>
              </w:rPr>
              <w:t xml:space="preserve"> CU-07 → CMP-02, CMP-03 (C02, C03).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Requerimientos:</w:t>
            </w:r>
            <w:r>
              <w:rPr>
                <w:sz w:val="18"/>
                <w:szCs w:val="18"/>
              </w:rPr>
              <w:t xml:space="preserve"> CU-01, CU-02, CU-03 → CMP-04 (C04).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Vacantes:</w:t>
            </w:r>
            <w:r>
              <w:rPr>
                <w:sz w:val="18"/>
                <w:szCs w:val="18"/>
              </w:rPr>
              <w:t xml:space="preserve"> CU-04, CU-05, CU-06 → CMP-05 (C05).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Postulantes:</w:t>
            </w:r>
            <w:r>
              <w:rPr>
                <w:sz w:val="18"/>
                <w:szCs w:val="18"/>
              </w:rPr>
              <w:t xml:space="preserve"> CU-08 → CMP-06, CMP-15 (C06, C15).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Postulaciones:</w:t>
            </w:r>
            <w:r>
              <w:rPr>
                <w:sz w:val="18"/>
                <w:szCs w:val="18"/>
              </w:rPr>
              <w:t xml:space="preserve"> CU-09, CU-10, CU-11, CU-12 → CMP-07 (C07).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Evaluaciones y entrevistas:</w:t>
            </w:r>
            <w:r>
              <w:rPr>
                <w:sz w:val="18"/>
                <w:szCs w:val="18"/>
              </w:rPr>
              <w:t xml:space="preserve"> CU-13, CU-14, CU-15 → CMP-08 (C08).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Ranking:</w:t>
            </w:r>
            <w:r>
              <w:rPr>
                <w:sz w:val="18"/>
                <w:szCs w:val="18"/>
              </w:rPr>
              <w:t xml:space="preserve"> CU-16, CU-17 → CMP-09 (C09).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Decisión:</w:t>
            </w:r>
            <w:r>
              <w:rPr>
                <w:sz w:val="18"/>
                <w:szCs w:val="18"/>
              </w:rPr>
              <w:t xml:space="preserve"> CU-18 «Registrar decisión final humana» → CMP-10 (C10).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Selección y cierre:</w:t>
            </w:r>
            <w:r>
              <w:rPr>
                <w:sz w:val="18"/>
                <w:szCs w:val="18"/>
              </w:rPr>
              <w:t xml:space="preserve"> CU-19, CU-20 → CMP-11 (C11).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Notificaciones:</w:t>
            </w:r>
            <w:r>
              <w:rPr>
                <w:sz w:val="18"/>
                <w:szCs w:val="18"/>
              </w:rPr>
              <w:t xml:space="preserve"> Incluidas en CU-03, CU-09, CU-11, CU-12, CU-13, CU-14 y CU-20 → CMP-12 (C12).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Auditoría:</w:t>
            </w:r>
            <w:r>
              <w:rPr>
                <w:sz w:val="18"/>
                <w:szCs w:val="18"/>
              </w:rPr>
              <w:t xml:space="preserve"> RF-27 transversal (CU-21 «Consultar auditoría»: DIFERIDO, fuera del catálogo) → CMP-13 (C13).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RF-27</w:t>
            </w:r>
            <w:r>
              <w:rPr>
                <w:sz w:val="18"/>
                <w:szCs w:val="18"/>
              </w:rPr>
              <w:t xml:space="preserve"> (auditoría) es transversal: su registro ocurre en todas las acciones críticas (CMP-13). CU-21 «Consultar auditoría» está </w:t>
            </w:r>
            <w:r>
              <w:rPr>
                <w:b/>
                <w:bCs/>
                <w:sz w:val="18"/>
                <w:szCs w:val="18"/>
              </w:rPr>
              <w:t xml:space="preserve">DIFERIDO</w:t>
            </w:r>
            <w:r>
              <w:rPr>
                <w:sz w:val="18"/>
                <w:szCs w:val="18"/>
              </w:rPr>
              <w:t xml:space="preserve"> y no forma parte del catálogo.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RF-28</w:t>
            </w:r>
            <w:r>
              <w:rPr>
                <w:sz w:val="18"/>
                <w:szCs w:val="18"/>
              </w:rPr>
              <w:t xml:space="preserve"> (panel operativo descriptivo) es un </w:t>
            </w:r>
            <w:r>
              <w:rPr>
                <w:b/>
                <w:bCs/>
                <w:sz w:val="18"/>
                <w:szCs w:val="18"/>
              </w:rPr>
              <w:t xml:space="preserve">candidato NO IMPLEMENTADO</w:t>
            </w:r>
            <w:r>
              <w:rPr>
                <w:sz w:val="18"/>
                <w:szCs w:val="18"/>
              </w:rPr>
              <w:t xml:space="preserve">: no es un componente de la arquitectura.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RF-29</w:t>
            </w:r>
            <w:r>
              <w:rPr>
                <w:sz w:val="18"/>
                <w:szCs w:val="18"/>
              </w:rPr>
              <w:t xml:space="preserve"> (riesgo operacional del proceso) es </w:t>
            </w:r>
            <w:r>
              <w:rPr>
                <w:b/>
                <w:bCs/>
                <w:sz w:val="18"/>
                <w:szCs w:val="18"/>
              </w:rPr>
              <w:t xml:space="preserve">EXPERIMENTAL / PROPUESTO</w:t>
            </w:r>
            <w:r>
              <w:rPr>
                <w:sz w:val="18"/>
                <w:szCs w:val="18"/>
              </w:rPr>
              <w:t xml:space="preserve"> y está fuera de la línea base: CMP-17.</w:t>
            </w:r>
          </w:p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RNF académicos:</w:t>
            </w:r>
            <w:r>
              <w:rPr>
                <w:sz w:val="18"/>
                <w:szCs w:val="18"/>
              </w:rPr>
              <w:t xml:space="preserve"> RNF-01 a RNF-10 (Formato 07), relacionados con las decisiones de la sección 7 y las restricciones de la sección 8. RNF-A a RNF-D (entre ellos RNF-D, observabilidad) son </w:t>
            </w:r>
            <w:r>
              <w:rPr>
                <w:b/>
                <w:bCs/>
                <w:sz w:val="18"/>
                <w:szCs w:val="18"/>
              </w:rPr>
              <w:t xml:space="preserve">propuestas</w:t>
            </w:r>
            <w:r>
              <w:rPr>
                <w:sz w:val="18"/>
                <w:szCs w:val="18"/>
              </w:rPr>
              <w:t xml:space="preserve"> fuera de la línea base.</w:t>
            </w:r>
          </w:p>
        </w:tc>
      </w:tr>
    </w:tbl>
    <w:p w14:paraId="67A11E16" w14:textId="77777777" w:rsidR="0085569D" w:rsidRDefault="0085569D" w:rsidP="0085569D">
      <w:pPr>
        <w:rPr>
          <w:b/>
          <w:bCs/>
        </w:rPr>
      </w:pPr>
    </w:p>
    <w:p w14:paraId="607DB9D8" w14:textId="26DF1990" w:rsidR="00757272" w:rsidRDefault="00875FFB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Estilo arquitectónico propuesto</w:t>
      </w:r>
    </w:p>
    <w:p w14:paraId="54AA1893" w14:textId="23705B8E" w:rsidR="0085569D" w:rsidRPr="00DB3D15" w:rsidRDefault="00875FFB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Cliente-Servidor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07FE4163" w14:textId="77777777" w:rsidTr="00D128F1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Característica complementaria (SOFTWARE IMPLEMENTADO).</w:t>
            </w:r>
            <w:r>
              <w:rPr>
                <w:sz w:val="18"/>
                <w:szCs w:val="18"/>
              </w:rPr>
              <w:t xml:space="preserve"> El cliente es el navegador del usuario, con páginas React 19 y TypeScript (Tailwind CSS 4 y shadcn/ui). El servidor es la aplicación Laravel 13 (PHP 8.4), que responde mediante Inertia 3, sin una API REST separada. PostgreSQL 17 y Redis 7 son servicios del lado del servidor.</w:t>
            </w:r>
          </w:p>
        </w:tc>
      </w:tr>
    </w:tbl>
    <w:p w14:paraId="401F1AFA" w14:textId="77777777" w:rsidR="0085569D" w:rsidRDefault="0085569D" w:rsidP="0085569D">
      <w:pPr>
        <w:rPr>
          <w:b/>
          <w:bCs/>
        </w:rPr>
      </w:pPr>
    </w:p>
    <w:p w14:paraId="0D132434" w14:textId="78E1C371" w:rsidR="00875FFB" w:rsidRPr="00875FFB" w:rsidRDefault="00875FFB" w:rsidP="00875FFB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Capas (N-</w:t>
      </w:r>
      <w:proofErr w:type="spellStart"/>
      <w:r>
        <w:rPr>
          <w:b/>
          <w:bCs/>
        </w:rPr>
        <w:t>tier</w:t>
      </w:r>
      <w:proofErr w:type="spellEnd"/>
      <w:r>
        <w:rPr>
          <w:b/>
          <w:bCs/>
        </w:rPr>
        <w:t>)</w:t>
      </w:r>
      <w:r w:rsidR="0085569D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21FF0EC5" w14:textId="77777777" w:rsidTr="00FD78CA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Característica complementaria: separación lógica por capas, no niveles físicos.</w:t>
            </w:r>
            <w:r>
              <w:rPr>
                <w:sz w:val="18"/>
                <w:szCs w:val="18"/>
              </w:rPr>
              <w:t xml:space="preserve"> Seis capas conceptuales: Presentación (CMP-01 (C01)); Acceso y seguridad (CMP-02, CMP-03 (C02, C03)); Negocio (CMP-04, CMP-05, CMP-06, CMP-07, CMP-08, CMP-09, CMP-10, CMP-11 (C04, C05, C06, C07, C08, C09, C10, C11)); Servicios transversales (CMP-12, CMP-13 (C12, C13)); Persistencia e infraestructura (CMP-14, CMP-15, CMP-16 (C14, C15, C16)); Experimental (opcional, fuera de la línea base) (CMP-17 (C17)).</w:t>
            </w:r>
          </w:p>
          <w:p>
            <w:pPr>
              <w:spacing w:after="60" w:line="264" w:lineRule="auto"/>
              <w:jc w:val="both"/>
            </w:pPr>
            <w:r>
              <w:rPr>
                <w:sz w:val="18"/>
                <w:szCs w:val="18"/>
              </w:rPr>
              <w:t xml:space="preserve">En el código, cada módulo sigue la misma separación: controladores delgados, validación en el servidor (Form Requests), autorización (Policies), servicios de dominio y modelos Eloquent (cap. 7 §7.2). Organización conceptual para leer la arquitectura. No es una arquitectura física obligatoria ni un despliegue: el despliegue real está en DE-01 (F23).</w:t>
            </w:r>
          </w:p>
        </w:tc>
      </w:tr>
    </w:tbl>
    <w:p w14:paraId="50E65D21" w14:textId="54ECBA41" w:rsidR="00875FFB" w:rsidRDefault="00875FFB" w:rsidP="00875FFB">
      <w:pPr>
        <w:rPr>
          <w:b/>
          <w:bCs/>
        </w:rPr>
      </w:pPr>
    </w:p>
    <w:p w14:paraId="0973B035" w14:textId="54C74968" w:rsidR="00875FFB" w:rsidRPr="00875FFB" w:rsidRDefault="00875FFB" w:rsidP="00875FFB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Microservicios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3A9279DA" w14:textId="77777777" w:rsidTr="00FD78CA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No adoptado.</w:t>
            </w:r>
            <w:r>
              <w:rPr>
                <w:sz w:val="18"/>
                <w:szCs w:val="18"/>
              </w:rPr>
              <w:t xml:space="preserve"> El sistema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es una arquitectura de microservicios: los módulos de negocio comparten una sola aplicación, un solo despliegue y una sola base de datos.</w:t>
            </w:r>
          </w:p>
          <w:p>
            <w:pPr>
              <w:spacing w:after="60" w:line="264" w:lineRule="auto"/>
              <w:jc w:val="both"/>
            </w:pPr>
            <w:r>
              <w:rPr>
                <w:sz w:val="18"/>
                <w:szCs w:val="18"/>
              </w:rPr>
              <w:t xml:space="preserve">La única pieza separada técnicamente es el servicio de inferencia de CMP-17 (Python y FastAPI, fuera de Docker Compose). Es </w:t>
            </w:r>
            <w:r>
              <w:rPr>
                <w:b/>
                <w:bCs/>
                <w:sz w:val="18"/>
                <w:szCs w:val="18"/>
              </w:rPr>
              <w:t xml:space="preserve">EXPERIMENTAL</w:t>
            </w:r>
            <w:r>
              <w:rPr>
                <w:sz w:val="18"/>
                <w:szCs w:val="18"/>
              </w:rPr>
              <w:t xml:space="preserve">, opcional y está desactivado por defecto (</w:t>
            </w:r>
            <w:r>
              <w:rPr>
                <w:rFonts w:ascii="Consolas" w:hAnsi="Consolas"/>
                <w:sz w:val="18"/>
                <w:szCs w:val="18"/>
              </w:rPr>
              <w:t xml:space="preserve">ML_SERVICE_ENABLED=false</w:t>
            </w:r>
            <w:r>
              <w:rPr>
                <w:sz w:val="18"/>
                <w:szCs w:val="18"/>
              </w:rPr>
              <w:t xml:space="preserve">); sin él la aplicación funciona igual. Esa separación no convierte al sistema en microservicios.</w:t>
            </w:r>
          </w:p>
        </w:tc>
      </w:tr>
    </w:tbl>
    <w:p w14:paraId="205972C5" w14:textId="77777777" w:rsidR="00875FFB" w:rsidRDefault="00875FFB" w:rsidP="00875FFB">
      <w:pPr>
        <w:rPr>
          <w:b/>
          <w:bCs/>
        </w:rPr>
      </w:pPr>
    </w:p>
    <w:p w14:paraId="7C57EC99" w14:textId="4D6D2FDE" w:rsidR="00875FFB" w:rsidRPr="00875FFB" w:rsidRDefault="00875FFB" w:rsidP="00875FFB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Monolítico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0347768D" w14:textId="77777777" w:rsidTr="00FD78CA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Estilo principal adoptado: MONOLITO MODULAR (SOFTWARE IMPLEMENTADO).</w:t>
            </w:r>
            <w:r>
              <w:rPr>
                <w:sz w:val="18"/>
                <w:szCs w:val="18"/>
              </w:rPr>
              <w:t xml:space="preserve"> Una sola aplicación Laravel organizada por dominios: requerimientos, vacantes, postulantes, postulaciones, evaluaciones, ranking, selección, notificaciones y auditoría (cap. 7 §7.2).</w:t>
            </w:r>
          </w:p>
        </w:tc>
      </w:tr>
    </w:tbl>
    <w:p w14:paraId="679BABCE" w14:textId="77777777" w:rsidR="00875FFB" w:rsidRDefault="00875FFB" w:rsidP="00875FFB">
      <w:pPr>
        <w:rPr>
          <w:b/>
          <w:bCs/>
        </w:rPr>
      </w:pPr>
    </w:p>
    <w:p w14:paraId="70D2474A" w14:textId="353721A6" w:rsidR="00875FFB" w:rsidRPr="00875FFB" w:rsidRDefault="00875FFB" w:rsidP="00875FFB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Otros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39B7B1EB" w14:textId="77777777" w:rsidTr="00FD78CA">
        <w:tc>
          <w:tcPr>
            <w:tcW w:w="7512" w:type="dxa"/>
          </w:tcPr>
          <w:p>
            <w:pPr>
              <w:spacing w:after="60" w:line="264" w:lineRule="auto"/>
              <w:jc w:val="both"/>
            </w:pPr>
            <w:r>
              <w:rPr>
                <w:sz w:val="18"/>
                <w:szCs w:val="18"/>
              </w:rPr>
              <w:t xml:space="preserve">No se adopta otro estilo. Como patrón transversal se aplica la </w:t>
            </w:r>
            <w:r>
              <w:rPr>
                <w:b/>
                <w:bCs/>
                <w:sz w:val="18"/>
                <w:szCs w:val="18"/>
              </w:rPr>
              <w:t xml:space="preserve">multitenencia lógica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hAnsi="Consolas"/>
                <w:sz w:val="18"/>
                <w:szCs w:val="18"/>
              </w:rPr>
              <w:t xml:space="preserve">organization_id</w:t>
            </w:r>
            <w:r>
              <w:rPr>
                <w:sz w:val="18"/>
                <w:szCs w:val="18"/>
              </w:rPr>
              <w:t xml:space="preserve"> en las entidades de negocio, un scope global (</w:t>
            </w:r>
            <w:r>
              <w:rPr>
                <w:rFonts w:ascii="Consolas" w:hAnsi="Consolas"/>
                <w:sz w:val="18"/>
                <w:szCs w:val="18"/>
              </w:rPr>
              <w:t xml:space="preserve">OrganizationScope</w:t>
            </w:r>
            <w:r>
              <w:rPr>
                <w:sz w:val="18"/>
                <w:szCs w:val="18"/>
              </w:rPr>
              <w:t xml:space="preserve">) y Policies que comprueban el rol y la organización (cap. 7 §7.3). </w:t>
            </w:r>
            <w:r>
              <w:rPr>
                <w:b/>
                <w:bCs/>
                <w:sz w:val="18"/>
                <w:szCs w:val="18"/>
              </w:rPr>
              <w:t xml:space="preserve">PostgreSQL RLS no está implementado</w:t>
            </w:r>
            <w:r>
              <w:rPr>
                <w:sz w:val="18"/>
                <w:szCs w:val="18"/>
              </w:rPr>
              <w:t xml:space="preserve">: queda como recomendación de defensa en profundidad.</w:t>
            </w:r>
          </w:p>
        </w:tc>
      </w:tr>
    </w:tbl>
    <w:p w14:paraId="573162EE" w14:textId="77777777" w:rsidR="00875FFB" w:rsidRDefault="00875FFB" w:rsidP="00875FFB">
      <w:pPr>
        <w:rPr>
          <w:b/>
          <w:bCs/>
        </w:rPr>
      </w:pPr>
    </w:p>
    <w:p w14:paraId="1F12B725" w14:textId="4B001B38" w:rsidR="00875FFB" w:rsidRPr="00875FFB" w:rsidRDefault="00875FFB" w:rsidP="00875FFB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Justificación</w:t>
      </w:r>
      <w:r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75FFB" w14:paraId="0BADFB03" w14:textId="77777777" w:rsidTr="00FD78CA">
        <w:tc>
          <w:tcPr>
            <w:tcW w:w="7512" w:type="dxa"/>
          </w:tcPr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Un solo despliegue, simple y reproducible con Docker Compose, suficiente para el alcance del proyecto: desarrollo, demostración y pruebas, sin infraestructura productiva (F9, OUT-09; A-36).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Módulos por dominio con trazabilidad RF → código → pruebas (DA-01). RNF-09 (mantenibilidad) tiene evidencia parcial.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Una única base PostgreSQL hace transaccionales las reglas críticas: una decisión por vacante, un seleccionado por vacante y la auditoría de solo inserción. Así no hace falta coordinación distribuida.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Ningún requisito aprobado pide despliegues independientes por módulo. Los microservicios añadirían red, despliegues y consistencia distribuida sin necesidad.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No se atribuyen mejoras medidas de rendimiento, disponibilidad ni escalabilidad: RNF-06 y RNF-07 están </w:t>
            </w:r>
            <w:r>
              <w:rPr>
                <w:b/>
                <w:bCs/>
                <w:sz w:val="18"/>
                <w:szCs w:val="18"/>
              </w:rPr>
              <w:t xml:space="preserve">NO VERIFICADOS</w:t>
            </w:r>
            <w:r>
              <w:rPr>
                <w:sz w:val="18"/>
                <w:szCs w:val="18"/>
              </w:rPr>
              <w:t xml:space="preserve">. Fuentes: cap. 7 §7.2; F9 §10.1; decisión DA-01.</w:t>
            </w:r>
          </w:p>
        </w:tc>
      </w:tr>
    </w:tbl>
    <w:p w14:paraId="2C835E2F" w14:textId="77777777" w:rsidR="00875FFB" w:rsidRDefault="00875FFB" w:rsidP="00875FFB">
      <w:pPr>
        <w:rPr>
          <w:b/>
          <w:bCs/>
        </w:rPr>
      </w:pPr>
    </w:p>
    <w:p w14:paraId="208918A7" w14:textId="59098042" w:rsidR="00757272" w:rsidRPr="007A4B26" w:rsidRDefault="00875FFB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componentes</w:t>
      </w:r>
    </w:p>
    <w:tbl>
      <w:tblPr>
        <w:tblStyle w:val="Tablaconcuadrcula"/>
        <w:tblW w:w="8186" w:type="dxa"/>
        <w:tblInd w:w="284" w:type="dxa"/>
        <w:tblLook w:val="04A0" w:firstRow="1" w:lastRow="0" w:firstColumn="1" w:lastColumn="0" w:noHBand="0" w:noVBand="1"/>
      </w:tblPr>
      <w:tblGrid>
        <w:gridCol w:w="987"/>
        <w:gridCol w:w="2126"/>
        <w:gridCol w:w="1985"/>
        <w:gridCol w:w="3088"/>
      </w:tblGrid>
      <w:tr w:rsidR="0085569D" w14:paraId="69467F76" w14:textId="77777777" w:rsidTr="00875FFB">
        <w:trPr>
          <w:cantSplit/>
          <w:tblHeader/>
        </w:trPr>
        <w:tc>
          <w:tcPr>
            <w:tcW w:w="987" w:type="dxa"/>
          </w:tcPr>
          <w:p w14:paraId="30CF0440" w14:textId="27C8FD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26" w:type="dxa"/>
          </w:tcPr>
          <w:p w14:paraId="10E2C7F2" w14:textId="1488083B" w:rsidR="0085569D" w:rsidRPr="00757272" w:rsidRDefault="00875FFB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985" w:type="dxa"/>
          </w:tcPr>
          <w:p w14:paraId="2714A4F6" w14:textId="048069A8" w:rsidR="0085569D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088" w:type="dxa"/>
          </w:tcPr>
          <w:p w14:paraId="671D4755" w14:textId="6D59BC18" w:rsidR="0085569D" w:rsidRPr="00757272" w:rsidRDefault="00875FFB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 asociadas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CMP-01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(C01)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Interfaz web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Páginas por rol, portal público de empleos y notificaciones propias; presenta datos y envía acciones. No decide.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RF-01..RF-27 (interacción)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Todos (interfaz)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Todos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CMP-02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(C02)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Autenticación y cuentas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Registro del postulante, inicio de sesión, 2FA y restablecimiento; identifica al usuario y su rol.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RF-08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CU-07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Postulante; personal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CMP-03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(C03)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Autorización y contexto multiempresa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 (transversal)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Autoriza cada operación por rol </w:t>
            </w:r>
            <w:r>
              <w:rPr>
                <w:b/>
                <w:bCs/>
                <w:sz w:val="16"/>
                <w:szCs w:val="16"/>
              </w:rPr>
              <w:t xml:space="preserve">y</w:t>
            </w:r>
            <w:r>
              <w:rPr>
                <w:sz w:val="16"/>
                <w:szCs w:val="16"/>
              </w:rPr>
              <w:t xml:space="preserve"> organización y filtra los datos por </w:t>
            </w:r>
            <w:r>
              <w:rPr>
                <w:rFonts w:ascii="Consolas" w:hAnsi="Consolas"/>
                <w:sz w:val="16"/>
                <w:szCs w:val="16"/>
              </w:rPr>
              <w:t xml:space="preserve">organization_id</w:t>
            </w:r>
            <w:r>
              <w:rPr>
                <w:sz w:val="16"/>
                <w:szCs w:val="16"/>
              </w:rPr>
              <w:t xml:space="preserve">. No hay gestión de organizaciones: la organización es un contexto de aislamiento.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RNF (seguridad y multitenencia); aplica a RF-01..RF-27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Todos (transversal)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Todo el personal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CMP-04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(C04)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Requerimientos de personal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Registro, envío, validación u observación, corrección y aprobación o rechazo del requerimiento, con historial.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RF-01, RF-02, RF-03, RF-04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CU-01, CU-02, CU-03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Área solicitante, RR. HH., Aprobador / Dirección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CMP-05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(C05)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Vacantes y convocatorias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Crea la vacante desde un requerimiento aprobado, registra perfil y criterios ponderados, valida la configuración y publica en el portal.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RF-05, RF-06, RF-07, RF-20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CU-04, CU-05, CU-06, CU-16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RR. HH.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CMP-06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(C06)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Postulantes y CV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Perfil mínimo del postulante (sin DNI ni fecha de nacimiento) y carga del CV en PDF privado.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RF-09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CU-08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Postulante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CMP-07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(C07)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Postulaciones y etapas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Registro único de postulación, confirmación, revisión del expediente, preselección o descarte y cambios de etapa con historial.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RF-10, RF-11, RF-12, RF-13, RF-14, RF-15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CU-09, CU-10, CU-11, CU-12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Postulante, RR. HH., Aprobador / Dirección (consulta)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CMP-08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(C08)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Evaluaciones y entrevistas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Programación de sesiones con evaluador de la organización, convocatoria y registro único de puntajes, resultado y observaciones, validados contra rangos.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RF-16, RF-17, RF-18, RF-19, RF-20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CU-13, CU-14, CU-15, CU-16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RR. HH., Evaluador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CMP-09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(C09)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Ranking y comparación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Calcula un ranking ponderado, determinista y explicable y presenta la comparación. </w:t>
            </w:r>
            <w:r>
              <w:rPr>
                <w:b/>
                <w:bCs/>
                <w:sz w:val="16"/>
                <w:szCs w:val="16"/>
              </w:rPr>
              <w:t xml:space="preserve">Es apoyo: no selecciona, no descarta ni cambia estados.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RF-20, RF-21, RF-22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CU-16, CU-17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RR. HH., Aprobador / Dirección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CMP-10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(C10)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Decisión final humana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Registra la decisión del </w:t>
            </w:r>
            <w:r>
              <w:rPr>
                <w:b/>
                <w:bCs/>
                <w:sz w:val="16"/>
                <w:szCs w:val="16"/>
              </w:rPr>
              <w:t xml:space="preserve">Aprobador / Dirección</w:t>
            </w:r>
            <w:r>
              <w:rPr>
                <w:sz w:val="16"/>
                <w:szCs w:val="16"/>
              </w:rPr>
              <w:t xml:space="preserve"> con confirmación explícita y justificación; única e inmutable por vacante. No cambia estados por sí misma.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RF-23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CU-18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Aprobador / Dirección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CMP-11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(C11)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Selección y cierre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Aplica la decisión registrando la selección y cierra la convocatoria (solo con selección); dispara el resultado a cada postulante.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RF-24, RF-25, RF-26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CU-19, CU-20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RR. HH.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CMP-12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(C12)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Notificaciones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 (transversal)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Avisos automáticos (rechazo, recepción, cambio de etapa, convocatoria, resultado) en la plataforma y por correo con driver </w:t>
            </w:r>
            <w:r>
              <w:rPr>
                <w:rFonts w:ascii="Consolas" w:hAnsi="Consolas"/>
                <w:sz w:val="16"/>
                <w:szCs w:val="16"/>
              </w:rPr>
              <w:t xml:space="preserve">log</w:t>
            </w:r>
            <w:r>
              <w:rPr>
                <w:sz w:val="16"/>
                <w:szCs w:val="16"/>
              </w:rPr>
              <w:t xml:space="preserve">; se encolan y se envían después del commit.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RF-04, RF-11, RF-15, RF-17, RF-26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Incluidas en CU-03, CU-09, CU-11, CU-12, CU-13, CU-14, CU-20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Postulante, Área solicitante, Evaluador (destinatarios)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CMP-13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(C13)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Auditoría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 (transversal)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Registra de forma de solo inserción cada acción crítica (trigger en la base) y permite al Aprobador / Dirección consultarla. La consulta no es un CU académico (CU-21 diferido).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RF-27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Transversal (UC-RF27)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Aprobador / Dirección (consulta)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CMP-14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(C14)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Persistencia de datos (PostgreSQL)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Único almacén de datos de negocio, con restricciones de integridad; historiales, notificaciones y auditoría.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Soporte de RF-01..RF-27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—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—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CMP-15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(C15)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Almacenamiento privado de CV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Guarda los CV en un disco privado con nombre UUID; la descarga solo pasa por la Policy.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RF-09, RF-12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CU-08, CU-10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—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CMP-16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(C16)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Sesiones, caché y cola (Redis)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SOFTWARE IMPLEMENTADO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Sesiones, caché y cola de trabajos; el trabajador de cola envía las notificaciones.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Soporte de C02 y C12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—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—</w:t>
            </w:r>
          </w:p>
        </w:tc>
      </w:tr>
      <w:tr>
        <w:trPr>
          <w:cantSplit/>
        </w:trPr>
        <w:tc>
          <w:tcPr>
            <w:tcW w:w="987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CMP-17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(C17)</w:t>
            </w:r>
          </w:p>
        </w:tc>
        <w:tc>
          <w:tcPr>
            <w:tcW w:w="2126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Riesgo operacional del proceso (RF-29)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EXPERIMENTAL / PROPUESTO</w:t>
            </w:r>
          </w:p>
        </w:tc>
        <w:tc>
          <w:tcPr>
            <w:tcW w:w="198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Estima el riesgo de demora del </w:t>
            </w:r>
            <w:r>
              <w:rPr>
                <w:b/>
                <w:bCs/>
                <w:sz w:val="16"/>
                <w:szCs w:val="16"/>
              </w:rPr>
              <w:t xml:space="preserve">proceso</w:t>
            </w:r>
            <w:r>
              <w:rPr>
                <w:sz w:val="16"/>
                <w:szCs w:val="16"/>
              </w:rPr>
              <w:t xml:space="preserve"> de una vacante con 15 variables operacionales y un servicio de inferencia externo opcional. Información descriptiva. </w:t>
            </w:r>
            <w:r>
              <w:rPr>
                <w:b/>
                <w:bCs/>
                <w:sz w:val="16"/>
                <w:szCs w:val="16"/>
              </w:rPr>
              <w:t xml:space="preserve">No evalúa candidatos, no decide, no ordena ni modifica el ranking</w:t>
            </w:r>
            <w:r>
              <w:rPr>
                <w:sz w:val="16"/>
                <w:szCs w:val="16"/>
              </w:rPr>
              <w:t xml:space="preserve"> y no guarda su resultado.</w:t>
            </w:r>
          </w:p>
        </w:tc>
        <w:tc>
          <w:tcPr>
            <w:tcW w:w="308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RF: RF-29 (candidato, experimental)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CU: — (fuera del catálogo; UC-RF29)</w:t>
            </w:r>
          </w:p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Actores: RR. HH., Aprobador / Dirección (consulta)</w:t>
            </w:r>
          </w:p>
        </w:tc>
      </w:tr>
    </w:tbl>
    <w:p>
      <w:pPr>
        <w:spacing w:after="120" w:line="264" w:lineRule="auto"/>
        <w:ind w:left="284"/>
        <w:jc w:val="both"/>
      </w:pPr>
      <w:r>
        <w:rPr>
          <w:b/>
          <w:bCs/>
          <w:sz w:val="16"/>
          <w:szCs w:val="16"/>
        </w:rPr>
        <w:t xml:space="preserve">Equivalencia de identificadores:</w:t>
      </w:r>
    </w:p>
    <w:p>
      <w:pPr>
        <w:spacing w:after="120" w:line="264" w:lineRule="auto"/>
        <w:ind w:left="284"/>
        <w:jc w:val="both"/>
      </w:pPr>
      <w:r>
        <w:rPr>
          <w:sz w:val="16"/>
          <w:szCs w:val="16"/>
        </w:rPr>
        <w:t xml:space="preserve">• CMP-01 a CMP-17 son los identificadores del Formato 11 oficial.</w:t>
      </w:r>
    </w:p>
    <w:p>
      <w:pPr>
        <w:spacing w:after="120" w:line="264" w:lineRule="auto"/>
        <w:ind w:left="284"/>
        <w:jc w:val="both"/>
      </w:pPr>
      <w:r>
        <w:rPr>
          <w:sz w:val="16"/>
          <w:szCs w:val="16"/>
        </w:rPr>
        <w:t xml:space="preserve">• Entre paréntesis va el identificador histórico C01 a C17, que usan el F11 adaptado, </w:t>
      </w:r>
      <w:r>
        <w:rPr>
          <w:rFonts w:ascii="Consolas" w:hAnsi="Consolas"/>
          <w:sz w:val="16"/>
          <w:szCs w:val="16"/>
        </w:rPr>
        <w:t xml:space="preserve">COMPONENTS.md</w:t>
      </w:r>
      <w:r>
        <w:rPr>
          <w:sz w:val="16"/>
          <w:szCs w:val="16"/>
        </w:rPr>
        <w:t xml:space="preserve">, </w:t>
      </w:r>
      <w:r>
        <w:rPr>
          <w:rFonts w:ascii="Consolas" w:hAnsi="Consolas"/>
          <w:sz w:val="16"/>
          <w:szCs w:val="16"/>
        </w:rPr>
        <w:t xml:space="preserve">RELATIONSHIPS.md</w:t>
      </w:r>
      <w:r>
        <w:rPr>
          <w:sz w:val="16"/>
          <w:szCs w:val="16"/>
        </w:rPr>
        <w:t xml:space="preserve"> y el diagrama ARQ-01.</w:t>
      </w:r>
    </w:p>
    <w:p>
      <w:pPr>
        <w:spacing w:after="120" w:line="264" w:lineRule="auto"/>
        <w:ind w:left="284"/>
        <w:jc w:val="both"/>
      </w:pPr>
      <w:r>
        <w:rPr>
          <w:sz w:val="16"/>
          <w:szCs w:val="16"/>
        </w:rPr>
        <w:t xml:space="preserve">• La equivalencia es uno a uno (de CMP-01 = C01 a CMP-17 = C17), sin combinar, dividir ni añadir componentes.</w:t>
      </w:r>
    </w:p>
    <w:p>
      <w:pPr>
        <w:spacing w:after="120" w:line="264" w:lineRule="auto"/>
        <w:ind w:left="284"/>
        <w:jc w:val="both"/>
      </w:pPr>
      <w:r>
        <w:rPr>
          <w:sz w:val="16"/>
          <w:szCs w:val="16"/>
        </w:rPr>
        <w:t xml:space="preserve">Son 17 componentes </w:t>
      </w:r>
      <w:r>
        <w:rPr>
          <w:b/>
          <w:bCs/>
          <w:sz w:val="16"/>
          <w:szCs w:val="16"/>
        </w:rPr>
        <w:t xml:space="preserve">conceptuales</w:t>
      </w:r>
      <w:r>
        <w:rPr>
          <w:sz w:val="16"/>
          <w:szCs w:val="16"/>
        </w:rPr>
        <w:t xml:space="preserve">: agrupan responsabilidades, no son clases ni carpetas.</w:t>
      </w:r>
    </w:p>
    <w:p>
      <w:pPr>
        <w:spacing w:after="120" w:line="264" w:lineRule="auto"/>
        <w:ind w:left="284"/>
        <w:jc w:val="both"/>
      </w:pPr>
      <w:r>
        <w:rPr>
          <w:b/>
          <w:bCs/>
          <w:sz w:val="16"/>
          <w:szCs w:val="16"/>
        </w:rPr>
        <w:t xml:space="preserve">No son componentes:</w:t>
      </w:r>
      <w:r>
        <w:rPr>
          <w:sz w:val="16"/>
          <w:szCs w:val="16"/>
        </w:rPr>
        <w:t xml:space="preserve"> Panel operativo / reportes (NO IMPLEMENTADO (RF-28, candidato)); Gestión de organizaciones / superadministración (FUERA DE ALCANCE (OUT-03)); Facturación, planes y suscripciones (FUERA DE ALCANCE (OUT-01, OUT-02)); Selección automática, banco de talentos, integraciones externas, infraestructura en nube (FUERA DE ALCANCE (OUT-04 a OUT-10)).</w:t>
      </w:r>
    </w:p>
    <w:p w14:paraId="4CD8B61B" w14:textId="133B6BDE" w:rsidR="0085569D" w:rsidRDefault="0085569D" w:rsidP="00757272">
      <w:pPr>
        <w:ind w:left="284"/>
        <w:rPr>
          <w:b/>
          <w:bCs/>
        </w:rPr>
      </w:pPr>
    </w:p>
    <w:p w14:paraId="03C19427" w14:textId="1B4B47EE" w:rsidR="00875FFB" w:rsidRPr="007A4B26" w:rsidRDefault="00875FFB" w:rsidP="00875FFB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entre componentes</w:t>
      </w:r>
    </w:p>
    <w:tbl>
      <w:tblPr>
        <w:tblStyle w:val="Tablaconcuadrcula"/>
        <w:tblW w:w="8186" w:type="dxa"/>
        <w:tblInd w:w="284" w:type="dxa"/>
        <w:tblLook w:val="04A0" w:firstRow="1" w:lastRow="0" w:firstColumn="1" w:lastColumn="0" w:noHBand="0" w:noVBand="1"/>
      </w:tblPr>
      <w:tblGrid>
        <w:gridCol w:w="1505"/>
        <w:gridCol w:w="2018"/>
        <w:gridCol w:w="1871"/>
        <w:gridCol w:w="2792"/>
      </w:tblGrid>
      <w:tr w:rsidR="00875FFB" w14:paraId="1AA142D8" w14:textId="77777777" w:rsidTr="00875FFB">
        <w:trPr>
          <w:cantSplit/>
          <w:tblHeader/>
        </w:trPr>
        <w:tc>
          <w:tcPr>
            <w:tcW w:w="987" w:type="dxa"/>
          </w:tcPr>
          <w:p w14:paraId="345D5F61" w14:textId="63FA3454" w:rsidR="00875FFB" w:rsidRPr="00757272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 origen</w:t>
            </w:r>
          </w:p>
        </w:tc>
        <w:tc>
          <w:tcPr>
            <w:tcW w:w="2126" w:type="dxa"/>
          </w:tcPr>
          <w:p w14:paraId="7D20E374" w14:textId="0502A522" w:rsidR="00875FFB" w:rsidRPr="00757272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 destino</w:t>
            </w:r>
          </w:p>
        </w:tc>
        <w:tc>
          <w:tcPr>
            <w:tcW w:w="1985" w:type="dxa"/>
          </w:tcPr>
          <w:p w14:paraId="71C2C376" w14:textId="227B0918" w:rsidR="00875FFB" w:rsidRDefault="00875FFB" w:rsidP="00FD78C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interacción</w:t>
            </w:r>
          </w:p>
        </w:tc>
        <w:tc>
          <w:tcPr>
            <w:tcW w:w="3088" w:type="dxa"/>
            <w:vAlign w:val="center"/>
          </w:tcPr>
          <w:p w14:paraId="57D17C7A" w14:textId="57D5654B" w:rsidR="00875FFB" w:rsidRPr="00757272" w:rsidRDefault="00875FFB" w:rsidP="00875FF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CMP-01 (C01)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CMP-02 (C02)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Solicitud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R-01.</w:t>
            </w:r>
            <w:r>
              <w:rPr>
                <w:sz w:val="16"/>
                <w:szCs w:val="16"/>
              </w:rPr>
              <w:t xml:space="preserve"> Credenciales, sesión. Dependencia: C01 depende de C02 para acceder a lo protegido. (RF-08 · CU-07)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CMP-02 (C02)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CMP-03 (C03)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Contexto de seguridad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R-02.</w:t>
            </w:r>
            <w:r>
              <w:rPr>
                <w:sz w:val="16"/>
                <w:szCs w:val="16"/>
              </w:rPr>
              <w:t xml:space="preserve"> Usuario autenticado, rol y organización. Dependencia: C03 usa la identidad de C02. (Todos)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CMP-03 (C03)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CMP-04 a CMP-11, CMP-13 (C04 a C11, C13)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Autorización y filtro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R-03.</w:t>
            </w:r>
            <w:r>
              <w:rPr>
                <w:sz w:val="16"/>
                <w:szCs w:val="16"/>
              </w:rPr>
              <w:t xml:space="preserve"> Permiso por rol y organización; datos filtrados por organization_id. Dependencia: Todos los módulos de negocio dependen de C03 antes de operar. El postulante solo ve lo suyo. (RF-01..RF-27)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CMP-01 (C01)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CMP-04 a CMP-11, CMP-13 (C04 a C11, C13)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Uso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R-04.</w:t>
            </w:r>
            <w:r>
              <w:rPr>
                <w:sz w:val="16"/>
                <w:szCs w:val="16"/>
              </w:rPr>
              <w:t xml:space="preserve"> Acciones del usuario y datos a presentar. Dependencia: C01 invoca los módulos; no decide. Pasa por C03. (CU-01..CU-20)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CMP-04 (C04)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CMP-05 (C05)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Flujo de información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R-05.</w:t>
            </w:r>
            <w:r>
              <w:rPr>
                <w:sz w:val="16"/>
                <w:szCs w:val="16"/>
              </w:rPr>
              <w:t xml:space="preserve"> Requerimiento aprobado (origen de la vacante y plazas). Dependencia: C05 depende de un requerimiento aprobado. A-08: plazas ≤ aprobadas. (RF-03 → RF-05 · CU-03 → CU-04)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CMP-05 (C05)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CMP-07 (C07)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Flujo de información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R-06.</w:t>
            </w:r>
            <w:r>
              <w:rPr>
                <w:sz w:val="16"/>
                <w:szCs w:val="16"/>
              </w:rPr>
              <w:t xml:space="preserve"> Vacante publicada y vigente. Dependencia: C07 solo acepta postulaciones a vacantes publicadas. (RF-07 → RF-10 · CU-06 → CU-09)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CMP-06 (C06)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CMP-07 (C07)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Flujo de información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R-07.</w:t>
            </w:r>
            <w:r>
              <w:rPr>
                <w:sz w:val="16"/>
                <w:szCs w:val="16"/>
              </w:rPr>
              <w:t xml:space="preserve"> Perfil completo y referencia al CV vigente. Dependencia: C07 exige perfil completo y CV (A-11). (RF-09 → RF-10 · CU-08 → CU-09)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CMP-08 (C08)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CMP-07 (C07)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Uso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R-08.</w:t>
            </w:r>
            <w:r>
              <w:rPr>
                <w:sz w:val="16"/>
                <w:szCs w:val="16"/>
              </w:rPr>
              <w:t xml:space="preserve"> Postulación elegible; avance automático de etapa al programar (A-16). Dependencia: C08 depende de C07. Sin dependencia inversa: no hay ciclo. (RF-14, RF-16, RF-18 · CU-13, CU-14)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CMP-08 (C08)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CMP-09 (C09)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Flujo de información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R-09.</w:t>
            </w:r>
            <w:r>
              <w:rPr>
                <w:sz w:val="16"/>
                <w:szCs w:val="16"/>
              </w:rPr>
              <w:t xml:space="preserve"> Resultados de sesiones realizadas (puntajes por criterio). Dependencia: C09 lee los resultados de C08. Solo resultados confirmados (A-23). (RF-19 → RF-21 · CU-15 → CU-17)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CMP-09 (C09)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CMP-10 (C10)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Apoyo a la decisión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R-10.</w:t>
            </w:r>
            <w:r>
              <w:rPr>
                <w:sz w:val="16"/>
                <w:szCs w:val="16"/>
              </w:rPr>
              <w:t xml:space="preserve"> Comparación explicable; instantánea de posición y puntaje. Dependencia: C10 usa C09 solo para mostrar y guardar la instantánea. </w:t>
            </w:r>
            <w:r>
              <w:rPr>
                <w:b/>
                <w:bCs/>
                <w:sz w:val="16"/>
                <w:szCs w:val="16"/>
              </w:rPr>
              <w:t xml:space="preserve">El ranking no elige: decide el Aprobador / Dirección</w:t>
            </w:r>
            <w:r>
              <w:rPr>
                <w:sz w:val="16"/>
                <w:szCs w:val="16"/>
              </w:rPr>
              <w:t xml:space="preserve">. (RF-22 → RF-23 · CU-17 → CU-18)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CMP-10 (C10)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CMP-11 (C11)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Precondición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R-11.</w:t>
            </w:r>
            <w:r>
              <w:rPr>
                <w:sz w:val="16"/>
                <w:szCs w:val="16"/>
              </w:rPr>
              <w:t xml:space="preserve"> Decisión humana registrada. Dependencia: C11 requiere una decisión previa. (RF-23 → RF-24 · CU-18 → CU-19)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CMP-11 (C11)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CMP-07 (C07)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Uso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R-12.</w:t>
            </w:r>
            <w:r>
              <w:rPr>
                <w:sz w:val="16"/>
                <w:szCs w:val="16"/>
              </w:rPr>
              <w:t xml:space="preserve"> Transición a seleccionado y a no seleccionado. Dependencia: C11 usa las transiciones de C07. Sin dependencia inversa. (RF-24, RF-25 · CU-19, CU-20)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CMP-04 a CMP-11 (C04 a C11)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CMP-13 (C13)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Registro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R-13.</w:t>
            </w:r>
            <w:r>
              <w:rPr>
                <w:sz w:val="16"/>
                <w:szCs w:val="16"/>
              </w:rPr>
              <w:t xml:space="preserve"> Acción crítica (usuario, organización, acción, entidad, fecha). Dependencia: Los módulos registran en C13 en la misma transacción. C13 no invoca a los módulos. (RF-27)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CMP-04, CMP-07, CMP-08, CMP-11 (C04, C07, C08, C11)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CMP-12 (C12)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Evento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R-14.</w:t>
            </w:r>
            <w:r>
              <w:rPr>
                <w:sz w:val="16"/>
                <w:szCs w:val="16"/>
              </w:rPr>
              <w:t xml:space="preserve"> Rechazo, recepción, cambio de etapa, convocatoria, resultado. Dependencia: Los módulos disparan avisos; C12 no invoca a los módulos. Después del commit. (RF-04, RF-11, RF-15, RF-17, RF-26)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CMP-12 (C12)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CMP-16 (C16)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Encolado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R-15.</w:t>
            </w:r>
            <w:r>
              <w:rPr>
                <w:sz w:val="16"/>
                <w:szCs w:val="16"/>
              </w:rPr>
              <w:t xml:space="preserve"> Trabajos de notificación. Dependencia: C12 depende de la cola. (RF-04, RF-11, RF-15, RF-17, RF-26)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CMP-04 a CMP-13 (C04 a C13)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CMP-14 (C14)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Persistencia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R-16.</w:t>
            </w:r>
            <w:r>
              <w:rPr>
                <w:sz w:val="16"/>
                <w:szCs w:val="16"/>
              </w:rPr>
              <w:t xml:space="preserve"> Datos de negocio, historiales, notificaciones y auditoría. Dependencia: Todos dependen de C14. Auditoría protegida por trigger de solo inserción. (RF-01..RF-27)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CMP-06, CMP-07 (C06, C07)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CMP-15 (C15)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Almacenamiento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R-17.</w:t>
            </w:r>
            <w:r>
              <w:rPr>
                <w:sz w:val="16"/>
                <w:szCs w:val="16"/>
              </w:rPr>
              <w:t xml:space="preserve"> Archivo del CV (escritura; descarga autorizada). Dependencia: C06 y C07 dependen de C15. Descarga solo con Policy (C03). (RF-09, RF-12 · CU-08, CU-10)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CMP-02 (C02)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CMP-16 (C16)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Sesión y caché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R-18.</w:t>
            </w:r>
            <w:r>
              <w:rPr>
                <w:sz w:val="16"/>
                <w:szCs w:val="16"/>
              </w:rPr>
              <w:t xml:space="preserve"> Sesión del usuario. Dependencia: C02 depende de C16. (RF-08)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CMP-05 (C05)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CMP-17 (C17)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Consulta opcional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R-19.</w:t>
            </w:r>
            <w:r>
              <w:rPr>
                <w:sz w:val="16"/>
                <w:szCs w:val="16"/>
              </w:rPr>
              <w:t xml:space="preserve"> 15 variables operacionales del proceso de la vacante (sin identificadores ni PII). Dependencia: C17 lee datos de la vacante; ningún módulo depende de C17. Desactivado por defecto; sin C17 la aplicación funciona igual. (RF-29 (experimental))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CMP-17 (C17)</w:t>
            </w:r>
          </w:p>
        </w:tc>
        <w:tc>
          <w:tcPr>
            <w:tcW w:w="2018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CMP-01 (C01)</w:t>
            </w:r>
          </w:p>
        </w:tc>
        <w:tc>
          <w:tcPr>
            <w:tcW w:w="1871" w:type="dxa"/>
          </w:tcPr>
          <w:p>
            <w:pPr>
              <w:spacing w:after="60" w:line="240" w:lineRule="auto"/>
              <w:jc w:val="left"/>
            </w:pPr>
            <w:r>
              <w:rPr>
                <w:sz w:val="16"/>
                <w:szCs w:val="16"/>
              </w:rPr>
              <w:t xml:space="preserve">Información descriptiva</w:t>
            </w:r>
          </w:p>
        </w:tc>
        <w:tc>
          <w:tcPr>
            <w:tcW w:w="2792" w:type="dxa"/>
          </w:tcPr>
          <w:p>
            <w:pPr>
              <w:spacing w:after="6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R-20.</w:t>
            </w:r>
            <w:r>
              <w:rPr>
                <w:sz w:val="16"/>
                <w:szCs w:val="16"/>
              </w:rPr>
              <w:t xml:space="preserve"> Riesgo operacional del proceso y su estado. Dependencia: Solo se muestra en la tarjeta experimental de la vacante. </w:t>
            </w:r>
            <w:r>
              <w:rPr>
                <w:b/>
                <w:bCs/>
                <w:sz w:val="16"/>
                <w:szCs w:val="16"/>
              </w:rPr>
              <w:t xml:space="preserve">Sin relación con C09, C10 ni C11</w:t>
            </w:r>
            <w:r>
              <w:rPr>
                <w:sz w:val="16"/>
                <w:szCs w:val="16"/>
              </w:rPr>
              <w:t xml:space="preserve">. (RF-29)</w:t>
            </w:r>
          </w:p>
        </w:tc>
      </w:tr>
    </w:tbl>
    <w:p>
      <w:pPr>
        <w:spacing w:after="60" w:line="264" w:lineRule="auto"/>
        <w:ind w:left="284"/>
        <w:jc w:val="both"/>
      </w:pPr>
      <w:r>
        <w:rPr>
          <w:sz w:val="16"/>
          <w:szCs w:val="16"/>
        </w:rPr>
        <w:t xml:space="preserve">Cada relación conserva su identificador histórico </w:t>
      </w:r>
      <w:r>
        <w:rPr>
          <w:b/>
          <w:bCs/>
          <w:sz w:val="16"/>
          <w:szCs w:val="16"/>
        </w:rPr>
        <w:t xml:space="preserve">R-01 a R-20</w:t>
      </w:r>
      <w:r>
        <w:rPr>
          <w:sz w:val="16"/>
          <w:szCs w:val="16"/>
        </w:rPr>
        <w:t xml:space="preserve"> (</w:t>
      </w:r>
      <w:r>
        <w:rPr>
          <w:rFonts w:ascii="Consolas" w:hAnsi="Consolas"/>
          <w:sz w:val="16"/>
          <w:szCs w:val="16"/>
        </w:rPr>
        <w:t xml:space="preserve">RELATIONSHIPS.md</w:t>
      </w:r>
      <w:r>
        <w:rPr>
          <w:sz w:val="16"/>
          <w:szCs w:val="16"/>
        </w:rPr>
        <w:t xml:space="preserve"> y ARQ-01). Una relación que une un componente con varios (por ejemplo, R-03 o R-16) es la </w:t>
      </w:r>
      <w:r>
        <w:rPr>
          <w:b/>
          <w:bCs/>
          <w:sz w:val="16"/>
          <w:szCs w:val="16"/>
        </w:rPr>
        <w:t xml:space="preserve">misma interacción</w:t>
      </w:r>
      <w:r>
        <w:rPr>
          <w:sz w:val="16"/>
          <w:szCs w:val="16"/>
        </w:rPr>
        <w:t xml:space="preserve"> con cada uno: no se desdobló ni se añadió ninguna relación.</w:t>
      </w:r>
    </w:p>
    <w:p>
      <w:pPr>
        <w:spacing w:after="60" w:line="264" w:lineRule="auto"/>
        <w:ind w:left="284"/>
        <w:jc w:val="both"/>
      </w:pPr>
      <w:r>
        <w:rPr>
          <w:sz w:val="16"/>
          <w:szCs w:val="16"/>
        </w:rPr>
        <w:t xml:space="preserve">No hay dependencias circulares entre los módulos de negocio: CMP-07 no depende de otro, y CMP-08 y CMP-11 dependen de CMP-07. CMP-17 (RF-29) solo se relaciona con CMP-05 y CMP-01; </w:t>
      </w:r>
      <w:r>
        <w:rPr>
          <w:b/>
          <w:bCs/>
          <w:sz w:val="16"/>
          <w:szCs w:val="16"/>
        </w:rPr>
        <w:t xml:space="preserve">no</w:t>
      </w:r>
      <w:r>
        <w:rPr>
          <w:sz w:val="16"/>
          <w:szCs w:val="16"/>
        </w:rPr>
        <w:t xml:space="preserve"> con CMP-09, CMP-10 ni CMP-11.</w:t>
      </w:r>
    </w:p>
    <w:p w14:paraId="3B65B677" w14:textId="77777777" w:rsidR="00875FFB" w:rsidRDefault="00875FFB" w:rsidP="00875FFB">
      <w:pPr>
        <w:ind w:left="284"/>
        <w:rPr>
          <w:b/>
          <w:bCs/>
        </w:rPr>
      </w:pPr>
    </w:p>
    <w:p>
      <w:pPr>
        <w:spacing w:after="0"/>
        <w:sectPr w:rsidR="00757272" w:rsidRPr="0085569D" w:rsidSect="00C77A65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97AD0A" w14:textId="3C3BA32A" w:rsidR="00757272" w:rsidRDefault="00875FFB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Diagrama de Arquitectura conceptual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3152"/>
      </w:tblGrid>
      <w:tr w:rsidR="00875FFB" w14:paraId="43B6F63F" w14:textId="77777777" w:rsidTr="00875FFB">
        <w:tc>
          <w:tcPr>
            <w:tcW w:w="13152" w:type="dxa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072754" cy="4752000"/>
                  <wp:docPr id="101" name="ARQ-01_Arquitectura_Conceptu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ARQ-01_Arquitectura_Conceptual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2754" cy="47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64" w:lineRule="auto"/>
        <w:ind w:left="284"/>
        <w:jc w:val="center"/>
        <w:sectPr w:rsidR="00757272" w:rsidRPr="0085569D" w:rsidSect="00C77A65">
          <w:headerReference w:type="default" r:id="rId7"/>
          <w:pgSz w:w="16838" w:h="11906" w:orient="landscape"/>
          <w:pgMar w:top="1417" w:right="1701" w:bottom="1417" w:left="1701" w:header="708" w:footer="708" w:gutter="0"/>
          <w:cols w:space="708"/>
          <w:docGrid w:linePitch="360"/>
        </w:sectPr>
      </w:pPr>
      <w:r>
        <w:rPr>
          <w:i/>
          <w:iCs/>
          <w:sz w:val="16"/>
          <w:szCs w:val="16"/>
        </w:rPr>
        <w:t xml:space="preserve">Figura 1. Arquitectura conceptual del sistema: vista formal ARQ-01 de PowerDesigner (F29, con el hotfix F29B), exportación </w:t>
      </w:r>
      <w:r>
        <w:rPr>
          <w:rFonts w:ascii="Consolas" w:hAnsi="Consolas"/>
          <w:i/>
          <w:iCs/>
          <w:sz w:val="16"/>
          <w:szCs w:val="16"/>
        </w:rPr>
        <w:t xml:space="preserve">ARQ-01_Arquitectura_Conceptual.png</w:t>
      </w:r>
      <w:r>
        <w:rPr>
          <w:i/>
          <w:iCs/>
          <w:sz w:val="16"/>
          <w:szCs w:val="16"/>
        </w:rPr>
        <w:t xml:space="preserve">. Los bloques conservan los identificadores históricos C01 a C17 (CMP-xx = Cxx, sección 4), y las flechas, las relaciones R-01 a R-20 (sección 5).</w:t>
      </w:r>
    </w:p>
    <w:p>
      <w:pPr>
        <w:spacing w:after="120" w:line="264" w:lineRule="auto"/>
        <w:ind w:left="284"/>
        <w:jc w:val="both"/>
      </w:pPr>
      <w:r>
        <w:rPr>
          <w:sz w:val="18"/>
          <w:szCs w:val="18"/>
        </w:rPr>
        <w:t xml:space="preserve">Las seis agrupaciones del diagrama son las capas conceptuales de la sección 3. Las figuras 2 y 3 amplían las dos mitades de la figura 1 para leerla mejor. Son recortes sin retoque de la misma exportación y no añaden contenido.</w:t>
      </w:r>
    </w:p>
    <w:p>
      <w:pPr>
        <w:spacing w:after="60"/>
        <w:jc w:val="center"/>
      </w:pPr>
      <w:r>
        <w:drawing>
          <wp:inline distT="0" distB="0" distL="0" distR="0">
            <wp:extent cx="5328000" cy="5702593"/>
            <wp:docPr id="102" name="ARQ-01_Arquitectura_Concep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ARQ-01_Arquitectura_Conceptual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4" w:lineRule="auto"/>
        <w:ind w:left="284"/>
        <w:jc w:val="center"/>
      </w:pPr>
      <w:r>
        <w:rPr>
          <w:i/>
          <w:iCs/>
          <w:sz w:val="16"/>
          <w:szCs w:val="16"/>
        </w:rPr>
        <w:t xml:space="preserve">Figura 2. Ampliación de la figura 1 (franja del 0 % al 55 % del ancho). Recorte sin retoque de la exportación.</w:t>
      </w:r>
    </w:p>
    <w:p>
      <w:pPr>
        <w:spacing w:after="60"/>
        <w:jc w:val="center"/>
      </w:pPr>
      <w:r>
        <w:drawing>
          <wp:inline distT="0" distB="0" distL="0" distR="0">
            <wp:extent cx="5328000" cy="5700462"/>
            <wp:docPr id="103" name="ARQ-01_Arquitectura_Concep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ARQ-01_Arquitectura_Conceptual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70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4" w:lineRule="auto"/>
        <w:ind w:left="284"/>
        <w:jc w:val="center"/>
      </w:pPr>
      <w:r>
        <w:rPr>
          <w:i/>
          <w:iCs/>
          <w:sz w:val="16"/>
          <w:szCs w:val="16"/>
        </w:rPr>
        <w:t xml:space="preserve">Figura 3. Ampliación de la figura 1 (franja del 45 % al 100 % del ancho), con C17 (CMP-17, experimental) y las notas del diagrama. Recorte sin retoque de la exportación.</w:t>
      </w:r>
    </w:p>
    <w:p w14:paraId="59DD4B82" w14:textId="283BE526" w:rsidR="0085569D" w:rsidRDefault="0085569D" w:rsidP="0085569D">
      <w:pPr>
        <w:ind w:left="284"/>
        <w:rPr>
          <w:b/>
          <w:bCs/>
        </w:rPr>
      </w:pPr>
    </w:p>
    <w:p w14:paraId="3FFD4864" w14:textId="5F636F7A" w:rsidR="00757272" w:rsidRDefault="00875FFB" w:rsidP="00757272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Decisiones de diseño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DA-01 Monolito modular en lugar de microservicios.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ADOPTADA · IMPLEMENTADA</w:t>
      </w:r>
      <w:r>
        <w:rPr>
          <w:sz w:val="18"/>
          <w:szCs w:val="18"/>
        </w:rPr>
        <w:t xml:space="preserve">. Un solo despliegue, con módulos por dominio y trazabilidad RF → código; ningún requisito pide despliegues independientes. Evidencia: cap. 7 §7.2; F9 §10.1.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DA-10 Laravel 13 + React 19 comunicados por Inertia 3.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ADOPTADA · IMPLEMENTADA</w:t>
      </w:r>
      <w:r>
        <w:rPr>
          <w:sz w:val="18"/>
          <w:szCs w:val="18"/>
        </w:rPr>
        <w:t xml:space="preserve">. Interfaz de página única servida por el monolito, sin API REST separada; validación y autorización en el servidor. Evidencia: cap. 7 §7.1–7.2.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DA-08 PostgreSQL 17 como único almacén de negocio.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IMPLEMENTADA</w:t>
      </w:r>
      <w:r>
        <w:rPr>
          <w:sz w:val="18"/>
          <w:szCs w:val="18"/>
        </w:rPr>
        <w:t xml:space="preserve">. Restricciones de integridad reales (CHECK, UNIQUE, índice único parcial) y el mismo motor en las pruebas. Evidencia: cap. 7 §7.5; A-03.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DA-09 Redis 7 para sesiones, caché y cola.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IMPLEMENTADA</w:t>
      </w:r>
      <w:r>
        <w:rPr>
          <w:sz w:val="18"/>
          <w:szCs w:val="18"/>
        </w:rPr>
        <w:t xml:space="preserve">. Las notificaciones se encolan y se envían después del commit, sin bloquear la operación. Evidencia: cap. 7 §7.6; A-32.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DA-02 Multitenencia lógica con organization_id, scopes y Laravel Policies (rol y organización).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IMPLEMENTADA · RLS PROPUESTA, no implementada</w:t>
      </w:r>
      <w:r>
        <w:rPr>
          <w:sz w:val="18"/>
          <w:szCs w:val="18"/>
        </w:rPr>
        <w:t xml:space="preserve">. Aislar organizaciones en la capa de aplicación; un identificador ajeno responde 403 o 404 sin efectos. Evidencia: cap. 7 §7.3–7.4; A-04; CrossTenantAccessTest; E2E-11.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DA-05 CV en almacenamiento privado.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IMPLEMENTADA</w:t>
      </w:r>
      <w:r>
        <w:rPr>
          <w:sz w:val="18"/>
          <w:szCs w:val="18"/>
        </w:rPr>
        <w:t xml:space="preserve">. Disco privado con nombre UUID y descarga solo a través de la Policy; minimiza la exposición de datos del postulante. Evidencia: A-12; A-15.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DA-04 Auditoría transversal de solo inserción.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IMPLEMENTADA</w:t>
      </w:r>
      <w:r>
        <w:rPr>
          <w:sz w:val="18"/>
          <w:szCs w:val="18"/>
        </w:rPr>
        <w:t xml:space="preserve">. Trazabilidad no alterable de las acciones críticas: AuditLogger y trigger </w:t>
      </w:r>
      <w:r>
        <w:rPr>
          <w:rFonts w:ascii="Consolas" w:hAnsi="Consolas"/>
          <w:sz w:val="18"/>
          <w:szCs w:val="18"/>
        </w:rPr>
        <w:t xml:space="preserve">audit_logs_append_only</w:t>
      </w:r>
      <w:r>
        <w:rPr>
          <w:sz w:val="18"/>
          <w:szCs w:val="18"/>
        </w:rPr>
        <w:t xml:space="preserve">, sin secretos en los metadatos. Evidencia: cap. 7 §7.7; A-33; A-34; DEF-07; DEF-08.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DA-06 Ranking configurable como apoyo a la decisión.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IMPLEMENTADA</w:t>
      </w:r>
      <w:r>
        <w:rPr>
          <w:sz w:val="18"/>
          <w:szCs w:val="18"/>
        </w:rPr>
        <w:t xml:space="preserve">. </w:t>
      </w:r>
      <w:r>
        <w:rPr>
          <w:rFonts w:ascii="Consolas" w:hAnsi="Consolas"/>
          <w:sz w:val="18"/>
          <w:szCs w:val="18"/>
        </w:rPr>
        <w:t xml:space="preserve">RankingService</w:t>
      </w:r>
      <w:r>
        <w:rPr>
          <w:sz w:val="18"/>
          <w:szCs w:val="18"/>
        </w:rPr>
        <w:t xml:space="preserve"> es puro: calcula, ordena y compara, no escribe en la base ni cambia estados. Evidencia: cap. 7 §7.8; A-23 a A-27; RF-21, RF-22.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DA-03 Decisión final humana.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ADOPTADA · IMPLEMENTADA</w:t>
      </w:r>
      <w:r>
        <w:rPr>
          <w:sz w:val="18"/>
          <w:szCs w:val="18"/>
        </w:rPr>
        <w:t xml:space="preserve">. Solo el Aprobador / Dirección la registra (VacancyPolicy::decide), con confirmación y justificación; es única por vacante y no cambia estados por sí misma. Evidencia: ADR-002; RF-23; A-27; cap. 7 §7.8.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DA-07 Componente de riesgo operacional (RF-29) separado de la selección.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EXPERIMENTAL</w:t>
      </w:r>
      <w:r>
        <w:rPr>
          <w:sz w:val="18"/>
          <w:szCs w:val="18"/>
        </w:rPr>
        <w:t xml:space="preserve">. El ML solo describe el proceso, nunca evalúa personas; no usa PII, no modifica el ranking ni decide; opcional y desactivado por defecto. Evidencia: ADR-001; ADR-004; F9 OUT-04 y OUT-11.</w:t>
      </w:r>
    </w:p>
    <w:p>
      <w:pPr>
        <w:pStyle w:val="Prrafodelista"/>
        <w:numPr>
          <w:ilvl w:val="0"/>
          <w:numId w:val="5"/>
        </w:numPr>
        <w:spacing w:after="80" w:line="264" w:lineRule="auto"/>
        <w:jc w:val="both"/>
      </w:pPr>
      <w:r>
        <w:rPr>
          <w:b/>
          <w:bCs/>
          <w:sz w:val="18"/>
          <w:szCs w:val="18"/>
        </w:rPr>
        <w:t xml:space="preserve">DA-11 Docker Compose como entorno reproducible.</w:t>
      </w:r>
      <w:r>
        <w:rPr>
          <w:sz w:val="18"/>
          <w:szCs w:val="18"/>
        </w:rPr>
        <w:t xml:space="preserve"> Estado: </w:t>
      </w:r>
      <w:r>
        <w:rPr>
          <w:b/>
          <w:bCs/>
          <w:sz w:val="18"/>
          <w:szCs w:val="18"/>
        </w:rPr>
        <w:t xml:space="preserve">ADOPTADA · IMPLEMENTADA (desarrollo, demostración y pruebas)</w:t>
      </w:r>
      <w:r>
        <w:rPr>
          <w:sz w:val="18"/>
          <w:szCs w:val="18"/>
        </w:rPr>
        <w:t xml:space="preserve">. El mismo entorno (app, queue, postgres, redis y perfil e2e) en cualquier equipo; no es una configuración productiva. Evidencia: cap. 7 §7.9; cap. 10; A-36; docs/docker.md.</w:t>
      </w:r>
    </w:p>
    <w:p>
      <w:pPr>
        <w:spacing w:after="120" w:line="264" w:lineRule="auto"/>
        <w:ind w:left="284"/>
        <w:jc w:val="both"/>
      </w:pPr>
      <w:r>
        <w:rPr>
          <w:i/>
          <w:iCs/>
          <w:sz w:val="16"/>
          <w:szCs w:val="16"/>
        </w:rPr>
        <w:t xml:space="preserve">Estados: </w:t>
      </w:r>
      <w:r>
        <w:rPr>
          <w:b/>
          <w:bCs/>
          <w:i/>
          <w:iCs/>
          <w:sz w:val="16"/>
          <w:szCs w:val="16"/>
        </w:rPr>
        <w:t xml:space="preserve">ADOPTADA</w:t>
      </w:r>
      <w:r>
        <w:rPr>
          <w:i/>
          <w:iCs/>
          <w:sz w:val="16"/>
          <w:szCs w:val="16"/>
        </w:rPr>
        <w:t xml:space="preserve"> (decisión tomada), </w:t>
      </w:r>
      <w:r>
        <w:rPr>
          <w:b/>
          <w:bCs/>
          <w:i/>
          <w:iCs/>
          <w:sz w:val="16"/>
          <w:szCs w:val="16"/>
        </w:rPr>
        <w:t xml:space="preserve">IMPLEMENTADA</w:t>
      </w:r>
      <w:r>
        <w:rPr>
          <w:i/>
          <w:iCs/>
          <w:sz w:val="16"/>
          <w:szCs w:val="16"/>
        </w:rPr>
        <w:t xml:space="preserve"> (presente en el software v1.1), </w:t>
      </w:r>
      <w:r>
        <w:rPr>
          <w:b/>
          <w:bCs/>
          <w:i/>
          <w:iCs/>
          <w:sz w:val="16"/>
          <w:szCs w:val="16"/>
        </w:rPr>
        <w:t xml:space="preserve">PROPUESTA</w:t>
      </w:r>
      <w:r>
        <w:rPr>
          <w:i/>
          <w:iCs/>
          <w:sz w:val="16"/>
          <w:szCs w:val="16"/>
        </w:rPr>
        <w:t xml:space="preserve"> (no implementada) y </w:t>
      </w:r>
      <w:r>
        <w:rPr>
          <w:b/>
          <w:bCs/>
          <w:i/>
          <w:iCs/>
          <w:sz w:val="16"/>
          <w:szCs w:val="16"/>
        </w:rPr>
        <w:t xml:space="preserve">EXPERIMENTAL</w:t>
      </w:r>
      <w:r>
        <w:rPr>
          <w:i/>
          <w:iCs/>
          <w:sz w:val="16"/>
          <w:szCs w:val="16"/>
        </w:rPr>
        <w:t xml:space="preserve"> (RF-29). No se atribuyen beneficios medidos. DA-01 a DA-10 son las decisiones del F11 adaptado; DA-11 registra una decisión que ya estaba aplicada.</w:t>
      </w:r>
    </w:p>
    <w:p w14:paraId="080C3A25" w14:textId="1CC657DE" w:rsidR="0085569D" w:rsidRDefault="0085569D" w:rsidP="0085569D">
      <w:pPr>
        <w:ind w:left="993"/>
      </w:pPr>
    </w:p>
    <w:p w14:paraId="00BE245A" w14:textId="47198EE7" w:rsidR="0085569D" w:rsidRDefault="00875FFB" w:rsidP="0085569D"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Restricciones y consideraciones</w:t>
      </w:r>
    </w:p>
    <w:p w14:paraId="198530B1" w14:textId="20256A18" w:rsidR="0085569D" w:rsidRPr="00DB3D15" w:rsidRDefault="00875FFB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Tecnológicas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1B97A079" w14:textId="77777777" w:rsidTr="00D128F1">
        <w:tc>
          <w:tcPr>
            <w:tcW w:w="8494" w:type="dxa"/>
          </w:tcPr>
          <w:p>
            <w:pPr>
              <w:spacing w:after="60" w:line="264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Stack real: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Laravel 13 (PHP 8.4) con Fortify;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React 19 con TypeScript, Inertia 3 y Tailwind CSS 4 (shadcn/ui);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PostgreSQL 17 y Redis 7;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Docker Compose.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Una sola aplicación y una sola base de datos de negocio. La multitenencia es lógica y no hay RLS de PostgreSQL.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El entorno Docker es de desarrollo, demostración y pruebas. No hay configuración productiva ni en la nube (A-36; F9 OUT-09).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El correo usa el driver </w:t>
            </w:r>
            <w:r>
              <w:rPr>
                <w:rFonts w:ascii="Consolas" w:hAnsi="Consolas"/>
                <w:sz w:val="18"/>
                <w:szCs w:val="18"/>
              </w:rPr>
              <w:t xml:space="preserve">log</w:t>
            </w:r>
            <w:r>
              <w:rPr>
                <w:sz w:val="18"/>
                <w:szCs w:val="18"/>
              </w:rPr>
              <w:t xml:space="preserve">: no hay proveedor real (OUT-08) ni integraciones externas (OUT-10).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El servicio de CMP-17 (Python 3.12 y FastAPI) está fuera de Docker Compose, es opcional y experimental.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Solo datos ficticios.</w:t>
            </w:r>
          </w:p>
        </w:tc>
      </w:tr>
    </w:tbl>
    <w:p w14:paraId="22F3FF40" w14:textId="77777777" w:rsidR="0085569D" w:rsidRDefault="0085569D" w:rsidP="0085569D">
      <w:pPr>
        <w:ind w:left="993"/>
        <w:rPr>
          <w:b/>
          <w:bCs/>
        </w:rPr>
      </w:pPr>
    </w:p>
    <w:p w14:paraId="14095383" w14:textId="04E91B80" w:rsidR="0085569D" w:rsidRPr="0085569D" w:rsidRDefault="00875FFB" w:rsidP="0085569D">
      <w:pPr>
        <w:pStyle w:val="Prrafodelista"/>
        <w:keepNext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De </w:t>
      </w:r>
      <w:proofErr w:type="spellStart"/>
      <w:r>
        <w:rPr>
          <w:b/>
          <w:bCs/>
          <w:lang w:val="en-US"/>
        </w:rPr>
        <w:t>rendimiento</w:t>
      </w:r>
      <w:proofErr w:type="spellEnd"/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:rsidRPr="00875FFB" w14:paraId="55ED0738" w14:textId="77777777" w:rsidTr="00D128F1">
        <w:tc>
          <w:tcPr>
            <w:tcW w:w="8494" w:type="dxa"/>
          </w:tcPr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RNF-06 Rendimiento: NO VERIFICADO.</w:t>
            </w:r>
            <w:r>
              <w:rPr>
                <w:sz w:val="18"/>
                <w:szCs w:val="18"/>
              </w:rPr>
              <w:t xml:space="preserve"> Faltan un SLA, pruebas de carga y un umbral aprobado; la medición de la F25 fue exploratoria. Este documento </w:t>
            </w:r>
            <w:r>
              <w:rPr>
                <w:b/>
                <w:bCs/>
                <w:sz w:val="18"/>
                <w:szCs w:val="18"/>
              </w:rPr>
              <w:t xml:space="preserve">no fija ni garantiza</w:t>
            </w:r>
            <w:r>
              <w:rPr>
                <w:sz w:val="18"/>
                <w:szCs w:val="18"/>
              </w:rPr>
              <w:t xml:space="preserve"> tiempos de respuesta, concurrencia ni rendimiento por segundo.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Decisiones que favorecen el rendimiento, </w:t>
            </w:r>
            <w:r>
              <w:rPr>
                <w:b/>
                <w:bCs/>
                <w:sz w:val="18"/>
                <w:szCs w:val="18"/>
              </w:rPr>
              <w:t xml:space="preserve">sin medición</w:t>
            </w:r>
            <w:r>
              <w:rPr>
                <w:sz w:val="18"/>
                <w:szCs w:val="18"/>
              </w:rPr>
              <w:t xml:space="preserve">:</w:t>
            </w:r>
          </w:p>
          <w:p>
            <w:pPr>
              <w:spacing w:after="60" w:line="264" w:lineRule="auto"/>
              <w:ind w:left="454" w:hanging="227"/>
              <w:jc w:val="both"/>
            </w:pPr>
            <w:r>
              <w:rPr>
                <w:sz w:val="18"/>
                <w:szCs w:val="18"/>
              </w:rPr>
              <w:t xml:space="preserve">– caché y cola en Redis: el envío de notificaciones no bloquea la operación (DA-09);</w:t>
            </w:r>
          </w:p>
          <w:p>
            <w:pPr>
              <w:spacing w:after="60" w:line="264" w:lineRule="auto"/>
              <w:ind w:left="454" w:hanging="227"/>
              <w:jc w:val="both"/>
            </w:pPr>
            <w:r>
              <w:rPr>
                <w:sz w:val="18"/>
                <w:szCs w:val="18"/>
              </w:rPr>
              <w:t xml:space="preserve">– restricciones e índices en PostgreSQL (DA-08).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RNF-07 Disponibilidad y recuperabilidad: NO VERIFICADO.</w:t>
            </w:r>
            <w:r>
              <w:rPr>
                <w:sz w:val="18"/>
                <w:szCs w:val="18"/>
              </w:rPr>
              <w:t xml:space="preserve"> No hay SLA ni porcentaje de disponibilidad, y no se probaron el respaldo ni la restauración.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RNF-D Observabilidad:</w:t>
            </w:r>
            <w:r>
              <w:rPr>
                <w:sz w:val="18"/>
                <w:szCs w:val="18"/>
              </w:rPr>
              <w:t xml:space="preserve"> PROPUESTO, fuera de la línea base.</w:t>
            </w:r>
          </w:p>
        </w:tc>
      </w:tr>
    </w:tbl>
    <w:p w14:paraId="013AE4C3" w14:textId="77777777" w:rsidR="0085569D" w:rsidRPr="0085569D" w:rsidRDefault="0085569D" w:rsidP="0085569D">
      <w:pPr>
        <w:ind w:left="993"/>
        <w:rPr>
          <w:b/>
          <w:bCs/>
          <w:lang w:val="en-US"/>
        </w:rPr>
      </w:pPr>
    </w:p>
    <w:p w14:paraId="4CFBF1AD" w14:textId="18BBFCA4" w:rsidR="0085569D" w:rsidRPr="00DB3D15" w:rsidRDefault="00875FFB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 seguridad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3DF885E2" w14:textId="77777777" w:rsidTr="00D128F1">
        <w:tc>
          <w:tcPr>
            <w:tcW w:w="8494" w:type="dxa"/>
          </w:tcPr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Autenticación</w:t>
            </w:r>
            <w:r>
              <w:rPr>
                <w:sz w:val="18"/>
                <w:szCs w:val="18"/>
              </w:rPr>
              <w:t xml:space="preserve"> (CMP-02): Fortify, con registro, inicio de sesión, 2FA y restablecimiento.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Autorización</w:t>
            </w:r>
            <w:r>
              <w:rPr>
                <w:sz w:val="18"/>
                <w:szCs w:val="18"/>
              </w:rPr>
              <w:t xml:space="preserve"> (CMP-03): 7 Policies, que comprueban rol y organización. La decisión final exige el rol aprobador (cap. 7 §7.4).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Multitenencia: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 xml:space="preserve">organization_id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hAnsi="Consolas"/>
                <w:sz w:val="18"/>
                <w:szCs w:val="18"/>
              </w:rPr>
              <w:t xml:space="preserve">OrganizationScope</w:t>
            </w:r>
            <w:r>
              <w:rPr>
                <w:sz w:val="18"/>
                <w:szCs w:val="18"/>
              </w:rPr>
              <w:t xml:space="preserve">. El acceso cruzado se rechaza con 403 o 404, verificado por </w:t>
            </w:r>
            <w:r>
              <w:rPr>
                <w:rFonts w:ascii="Consolas" w:hAnsi="Consolas"/>
                <w:sz w:val="18"/>
                <w:szCs w:val="18"/>
              </w:rPr>
              <w:t xml:space="preserve">CrossTenantAccessTest</w:t>
            </w:r>
            <w:r>
              <w:rPr>
                <w:sz w:val="18"/>
                <w:szCs w:val="18"/>
              </w:rPr>
              <w:t xml:space="preserve"> y E2E-11.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Validación en el servidor</w:t>
            </w:r>
            <w:r>
              <w:rPr>
                <w:sz w:val="18"/>
                <w:szCs w:val="18"/>
              </w:rPr>
              <w:t xml:space="preserve"> (Form Requests), protección CSRF y límite de intentos de inicio de sesión (cap. 5 §5.7).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CV privados</w:t>
            </w:r>
            <w:r>
              <w:rPr>
                <w:sz w:val="18"/>
                <w:szCs w:val="18"/>
              </w:rPr>
              <w:t xml:space="preserve"> (CMP-15): nombre UUID y descarga autorizada.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Auditoría de solo inserción</w:t>
            </w:r>
            <w:r>
              <w:rPr>
                <w:sz w:val="18"/>
                <w:szCs w:val="18"/>
              </w:rPr>
              <w:t xml:space="preserve"> (CMP-13), sin contraseñas, tokens ni secretos (DEF-08).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Secretos fuera del repositorio: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hAnsi="Consolas"/>
                <w:sz w:val="18"/>
                <w:szCs w:val="18"/>
              </w:rPr>
              <w:t xml:space="preserve">.env.e2e</w:t>
            </w:r>
            <w:r>
              <w:rPr>
                <w:sz w:val="18"/>
                <w:szCs w:val="18"/>
              </w:rPr>
              <w:t xml:space="preserve"> no se versionan.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CMP-17 no usa PII ni identificadores de candidatos.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Estado en el Formato 07: RNF-01 a RNF-04 están </w:t>
            </w:r>
            <w:r>
              <w:rPr>
                <w:b/>
                <w:bCs/>
                <w:sz w:val="18"/>
                <w:szCs w:val="18"/>
              </w:rPr>
              <w:t xml:space="preserve">VERIFICADOS</w:t>
            </w:r>
            <w:r>
              <w:rPr>
                <w:sz w:val="18"/>
                <w:szCs w:val="18"/>
              </w:rPr>
              <w:t xml:space="preserve">. No hay auditoría de seguridad externa ni aprobación institucional.</w:t>
            </w:r>
          </w:p>
        </w:tc>
      </w:tr>
    </w:tbl>
    <w:p w14:paraId="02350C8B" w14:textId="77777777" w:rsidR="0085569D" w:rsidRDefault="0085569D" w:rsidP="0085569D">
      <w:pPr>
        <w:ind w:left="993"/>
        <w:rPr>
          <w:b/>
          <w:bCs/>
        </w:rPr>
      </w:pPr>
    </w:p>
    <w:p w14:paraId="2973B559" w14:textId="68ECF167" w:rsidR="0085569D" w:rsidRPr="00DB3D15" w:rsidRDefault="00875FFB" w:rsidP="0085569D">
      <w:pPr>
        <w:pStyle w:val="Prrafodelista"/>
        <w:keepNext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De escalabilidad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5E8A232" w14:textId="77777777" w:rsidTr="00D128F1">
        <w:tc>
          <w:tcPr>
            <w:tcW w:w="8494" w:type="dxa"/>
          </w:tcPr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Consideración arquitectónica, no validada:</w:t>
            </w:r>
            <w:r>
              <w:rPr>
                <w:sz w:val="18"/>
                <w:szCs w:val="18"/>
              </w:rPr>
              <w:t xml:space="preserve"> no hay pruebas de carga ni mediciones de volumen, y no se afirma escalabilidad horizontal.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El monolito modular puede crecer por módulos, y un componente podría separarse en el futuro si un requisito medido lo justificara. Hoy no hay tal requisito.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La multitenencia lógica permite varias organizaciones en una misma instancia. Está verificada para el </w:t>
            </w:r>
            <w:r>
              <w:rPr>
                <w:b/>
                <w:bCs/>
                <w:sz w:val="18"/>
                <w:szCs w:val="18"/>
              </w:rPr>
              <w:t xml:space="preserve">aislamiento</w:t>
            </w:r>
            <w:r>
              <w:rPr>
                <w:sz w:val="18"/>
                <w:szCs w:val="18"/>
              </w:rPr>
              <w:t xml:space="preserve">, no para el volumen.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Redis desacopla el envío de notificaciones (cola asíncrona).</w:t>
            </w:r>
          </w:p>
          <w:p>
            <w:pPr>
              <w:spacing w:after="60" w:line="264" w:lineRule="auto"/>
              <w:ind w:left="227" w:hanging="227"/>
              <w:jc w:val="both"/>
            </w:pPr>
            <w:r>
              <w:rPr>
                <w:sz w:val="18"/>
                <w:szCs w:val="18"/>
              </w:rPr>
              <w:t xml:space="preserve">• No hay infraestructura productiva ni en la nube (OUT-09).</w:t>
            </w:r>
          </w:p>
        </w:tc>
      </w:tr>
    </w:tbl>
    <w:p w14:paraId="78A3513F" w14:textId="77777777" w:rsidR="0085569D" w:rsidRDefault="0085569D" w:rsidP="0085569D">
      <w:pPr>
        <w:ind w:left="993"/>
        <w:rPr>
          <w:b/>
          <w:bCs/>
        </w:rPr>
      </w:pPr>
    </w:p>
    <w:p w14:paraId="515B558F" w14:textId="77777777" w:rsidR="00757272" w:rsidRPr="0085569D" w:rsidRDefault="00757272" w:rsidP="00757272">
      <w:pPr>
        <w:ind w:left="284"/>
      </w:pPr>
    </w:p>
    <w:sectPr w:rsidR="00757272" w:rsidRPr="0085569D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12EEB" w14:textId="77777777" w:rsidR="005854E3" w:rsidRDefault="005854E3" w:rsidP="007A4B26">
      <w:pPr>
        <w:spacing w:after="0" w:line="240" w:lineRule="auto"/>
      </w:pPr>
      <w:r>
        <w:separator/>
      </w:r>
    </w:p>
  </w:endnote>
  <w:endnote w:type="continuationSeparator" w:id="0">
    <w:p w14:paraId="513D7163" w14:textId="77777777" w:rsidR="005854E3" w:rsidRDefault="005854E3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C6060" w14:textId="77777777" w:rsidR="005854E3" w:rsidRDefault="005854E3" w:rsidP="007A4B26">
      <w:pPr>
        <w:spacing w:after="0" w:line="240" w:lineRule="auto"/>
      </w:pPr>
      <w:r>
        <w:separator/>
      </w:r>
    </w:p>
  </w:footnote>
  <w:footnote w:type="continuationSeparator" w:id="0">
    <w:p w14:paraId="76300CDD" w14:textId="77777777" w:rsidR="005854E3" w:rsidRDefault="005854E3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AECE85EE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854E3"/>
    <w:rsid w:val="005D07C1"/>
    <w:rsid w:val="007438E4"/>
    <w:rsid w:val="00757272"/>
    <w:rsid w:val="007A4B26"/>
    <w:rsid w:val="0085569D"/>
    <w:rsid w:val="00875FFB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C187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1" Type="http://schemas.openxmlformats.org/officeDocument/2006/relationships/image" Target="media/f11r_1.png"/><Relationship Id="rId102" Type="http://schemas.openxmlformats.org/officeDocument/2006/relationships/image" Target="media/f11r_2.png"/><Relationship Id="rId103" Type="http://schemas.openxmlformats.org/officeDocument/2006/relationships/image" Target="media/f11r_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11 — Arquitectura del sistema (oficial, regularizado en F11-R)</dc:title>
  <dc:subject/>
  <dc:creator>Coronacion Meza Fredy; Peña Arroyo Anthony; Vila Meza Luis Antonio</dc:creator>
  <cp:keywords/>
  <dc:description/>
  <cp:lastModifiedBy>Equipo del proyecto</cp:lastModifiedBy>
  <cp:revision>11</cp:revision>
  <dcterms:created xsi:type="dcterms:W3CDTF">2026-03-16T06:30:00Z</dcterms:created>
  <dcterms:modified xsi:type="dcterms:W3CDTF">2026-04-20T22:33:00Z</dcterms:modified>
</cp:coreProperties>
</file>