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252A98E9" w:rsidR="007A4B26" w:rsidRDefault="007A4B26" w:rsidP="007A4B26">
      <w:pPr>
        <w:pStyle w:val="Ttulo1"/>
        <w:spacing w:line="240" w:lineRule="auto"/>
      </w:pPr>
      <w:r>
        <w:t>Formato 0</w:t>
      </w:r>
      <w:r w:rsidR="00757272">
        <w:t>8</w:t>
      </w:r>
      <w:r>
        <w:t>:</w:t>
      </w:r>
    </w:p>
    <w:p w14:paraId="1ED54D48" w14:textId="348281B8" w:rsidR="00C95537" w:rsidRDefault="00757272" w:rsidP="007A4B26">
      <w:pPr>
        <w:pStyle w:val="Ttulo1"/>
        <w:spacing w:before="0" w:after="240"/>
      </w:pPr>
      <w:r>
        <w:t>Diagrama de Casos de Uso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3980F50A" w:rsidR="00F6625E" w:rsidRDefault="00547B73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Módulo / Sistema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Plataforma SaaS multiempresa de reclutamiento, evaluación y selección (línea base RF-01 a RF-27)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364AEA07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Los casos de uso representan el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de la línea base RF-01 a RF-27. El diagrama académico es un </w:t>
            </w:r>
            <w:r>
              <w:rPr>
                <w:b/>
                <w:bCs/>
                <w:sz w:val="18"/>
                <w:szCs w:val="18"/>
              </w:rPr>
              <w:t xml:space="preserve">borrador</w:t>
            </w:r>
            <w:r>
              <w:rPr>
                <w:sz w:val="18"/>
                <w:szCs w:val="18"/>
              </w:rPr>
              <w:t xml:space="preserve">. La vista técnica formal es UC-01 de PowerDesigner (F23), que no se modifica.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sistema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sistema a desarrollar.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sistema.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de forma centralizada, trazable y multiempresa el ciclo de reclutamiento, evaluación y selección de personal: desde el requerimiento hasta el cierre de la convocatoria. Los datos de cada organización quedan aislados y la decisión final de selección se reserva 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Funcionalidades principales.</w:t>
      </w:r>
    </w:p>
    <w:p>
      <w:pPr>
        <w:spacing w:after="40"/>
        <w:ind w:left="567"/>
      </w:pPr>
      <w:r>
        <w:t xml:space="preserve">• Requerimientos de personal (CU-01 a CU-03).</w:t>
      </w:r>
    </w:p>
    <w:p>
      <w:pPr>
        <w:spacing w:after="40"/>
        <w:ind w:left="567"/>
      </w:pPr>
      <w:r>
        <w:t xml:space="preserve">• Vacantes (CU-04 a CU-06).</w:t>
      </w:r>
    </w:p>
    <w:p>
      <w:pPr>
        <w:spacing w:after="40"/>
        <w:ind w:left="567"/>
      </w:pPr>
      <w:r>
        <w:t xml:space="preserve">• Cuenta y postulación (CU-07 a CU-09).</w:t>
      </w:r>
    </w:p>
    <w:p>
      <w:pPr>
        <w:spacing w:after="40"/>
        <w:ind w:left="567"/>
      </w:pPr>
      <w:r>
        <w:t xml:space="preserve">• Seguimiento de postulaciones (CU-10 a CU-12).</w:t>
      </w:r>
    </w:p>
    <w:p>
      <w:pPr>
        <w:spacing w:after="40"/>
        <w:ind w:left="567"/>
      </w:pPr>
      <w:r>
        <w:t xml:space="preserve">• Evaluación y entrevista (CU-13 a CU-15).</w:t>
      </w:r>
    </w:p>
    <w:p>
      <w:pPr>
        <w:spacing w:after="40"/>
        <w:ind w:left="567"/>
      </w:pPr>
      <w:r>
        <w:t xml:space="preserve">• Comparación y ranking (CU-16 y CU-17).</w:t>
      </w:r>
    </w:p>
    <w:p>
      <w:pPr>
        <w:spacing w:after="40"/>
        <w:ind w:left="567"/>
      </w:pPr>
      <w:r>
        <w:t xml:space="preserve">• Decisión humana, selección y cierre (CU-18 a CU-20), con auditoría.</w:t>
      </w:r>
    </w:p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Relación con los requerimientos funcionales.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Los 20 CU cubren los 27 RF del Formato 06 sin RF adicionales. Cada CU indica sus RF, y cada RF tiene al menos un CU (sección 8). RF-28 y RF-29 son extensiones fuera de esta vista.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1807"/>
        <w:gridCol w:w="5586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558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Registra, envía y corrige requerimientos; recibe la notificación de rechazo.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Valida requerimientos y gestiona vacantes, postulaciones, sesiones, selección y cierre. No toma la decisión final.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Aprobador / Dirección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Aprueba o rechaza requerimientos, consulta la comparación, </w:t>
            </w:r>
            <w:r>
              <w:rPr>
                <w:b/>
                <w:bCs/>
                <w:sz w:val="18"/>
                <w:szCs w:val="18"/>
              </w:rPr>
              <w:t xml:space="preserve">registra la decisión final humana</w:t>
            </w:r>
            <w:r>
              <w:rPr>
                <w:sz w:val="18"/>
                <w:szCs w:val="18"/>
              </w:rPr>
              <w:t xml:space="preserve"> y consulta la auditoría.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Externo. Gestiona su cuenta, su perfil, su CV y sus postulaciones; recibe convocatorias, avisos y resultados propios.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</w:t>
            </w:r>
          </w:p>
        </w:tc>
        <w:tc>
          <w:tcPr>
            <w:tcW w:w="5586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Interno. Registra puntajes, resultado y observaciones de las sesiones que tiene asignadas.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El Sistema no es un actor: valida, calcula, notifica y audita como parte de los casos (inclusiones). No existen actores de superadministración ni de facturación (OUT-01 a OUT-03). El servicio de riesgo operacional (RF-29) es un actor secundario experimental que solo aparece en la vista técnica UC-RF.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casos de uso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739"/>
        <w:gridCol w:w="2711"/>
        <w:gridCol w:w="4765"/>
      </w:tblGrid>
      <w:tr>
        <w:trPr>
          <w:cantSplit/>
          <w:tblHeader/>
        </w:trPr>
        <w:tc>
          <w:tcPr>
            <w:tcW w:w="7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Caso de uso</w:t>
            </w:r>
          </w:p>
        </w:tc>
        <w:tc>
          <w:tcPr>
            <w:tcW w:w="476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requerimiento de personal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área registra la necesidad de personal.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Validar y corregir requerimiento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valida u observa; el área corrige y reenvía.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Aprobar o rechazar requerimiento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La Dirección decide sobre el requerimiento validado; el rechazo se notifica.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perfil y criterios del puesto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crea la vacante con perfil y criterios ponderados.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CU-05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Configurar y validar vacante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configura la convocatoria; el sistema valida.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CU-06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Publicar vacante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publica la vacante válida en el portal.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CU-07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cuenta y acceso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crea su cuenta e inicia sesión.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CU-08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perfil y CV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completa su perfil y carga su CV.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CU-09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postulación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postulante postula y recibe la confirmación.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CU-10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Consultar y revisar postulaciones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Revisa el listado por vacante y el expediente.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CU-11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preselección o descarte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preselecciona o descarta con motivo interno.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CU-12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Gestionar cambio de etapa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cambia la etapa; el postulante recibe el aviso.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CU-13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Programar evaluación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programa la evaluación; se envía la convocatoria.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CU-14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Programar entrevista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programa la entrevista; se envía la convocatoria.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CU-15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resultados de evaluación y entrevista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evaluador asignado registra puntajes y resultado.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CU-16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Validar rangos y ponderaciones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Validación incluida por la configuración, el registro de resultados y el ranking.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CU-17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Consultar ranking y comparación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Ranking y comparación explicables. No selecciona.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CU-18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decisión final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Decisión humana</w:t>
            </w:r>
            <w:r>
              <w:rPr>
                <w:sz w:val="17"/>
                <w:szCs w:val="17"/>
              </w:rPr>
              <w:t xml:space="preserve"> con confirmación y justificación. Según el F9, incluye el registro de auditoría.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CU-19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Registrar selección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aplica la decisión registrada.</w:t>
            </w:r>
          </w:p>
        </w:tc>
      </w:tr>
      <w:tr>
        <w:trPr>
          <w:cantSplit/>
        </w:trPr>
        <w:tc>
          <w:tcPr>
            <w:tcW w:w="739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CU-20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Cerrar convocatoria y notificar resultado</w:t>
            </w:r>
          </w:p>
        </w:tc>
        <w:tc>
          <w:tcPr>
            <w:tcW w:w="476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RR. HH. cierra con selección; cada postulante recibe su resultado.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actores-casos de uso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875"/>
        <w:gridCol w:w="534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534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ACT-01 Área solicitante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CU-01, CU-02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ACT-02 Recursos Humanos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CU-02, CU-04, CU-05, CU-06, CU-10, CU-11, CU-12, CU-13, CU-14, CU-17, CU-19, CU-20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ACT-03 Aprobador / Dirección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CU-03, CU-10, CU-17, CU-18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ACT-04 Postulante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CU-07, CU-08, CU-09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ACT-05 Evaluador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CU-15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— (caso incluido)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CU-16, incluido por CU-05, CU-15 y CU-17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de casos de uso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Insertar aquí el diagrama elaborado con herramienta UML.</w:t>
      </w:r>
    </w:p>
    <w:p>
      <w:pPr>
        <w:spacing w:after="60"/>
        <w:jc w:val="center"/>
      </w:pPr>
      <w:r>
        <w:drawing>
          <wp:inline distT="0" distB="0" distL="0" distR="0">
            <wp:extent cx="5940000" cy="5602357"/>
            <wp:docPr id="101" name="F8-casos-de-uso-academ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8-casos-de-uso-academico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0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Diagrama de casos de uso, vista académica (CU-01 a CU-20). Borrador de revisión.</w:t>
      </w:r>
    </w:p>
    <w:p>
      <w:pPr>
        <w:spacing w:after="60"/>
        <w:jc w:val="center"/>
      </w:pPr>
      <w:r>
        <w:drawing>
          <wp:inline distT="0" distB="0" distL="0" distR="0">
            <wp:extent cx="5940000" cy="3914753"/>
            <wp:docPr id="102" name="UC-01-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UC-01-casos-de-us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Referencia técnica: UC-01 de PowerDesigner (F23), un caso por RF. Exportación versionada, sin cambios.</w:t>
      </w:r>
    </w:p>
    <w:p>
      <w:pPr>
        <w:spacing w:after="100"/>
        <w:ind w:left="284"/>
      </w:pPr>
      <w:r>
        <w:t xml:space="preserve">La adaptación formal de la vista académica en PowerDesigner está en </w:t>
      </w:r>
      <w:r>
        <w:rPr>
          <w:rFonts w:ascii="Consolas" w:hAnsi="Consolas"/>
        </w:rPr>
        <w:t xml:space="preserve">POWERDESIGNER_PENDING.md</w:t>
      </w:r>
      <w:r>
        <w:t xml:space="preserve">. No se modificó el OOM de la F23.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con los requerimientos y correspondencia de vistas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971"/>
        <w:gridCol w:w="1314"/>
        <w:gridCol w:w="1643"/>
        <w:gridCol w:w="1068"/>
        <w:gridCol w:w="1068"/>
        <w:gridCol w:w="1150"/>
      </w:tblGrid>
      <w:tr>
        <w:trPr>
          <w:cantSplit/>
          <w:tblHeader/>
        </w:trPr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CU académico (F9)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CU agrupado (v1.0)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UC-RF (F22/F23)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Actor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RF</w:t>
            </w:r>
          </w:p>
        </w:tc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Alcance (F9)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 Registrar requerimiento de personal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UC-RF01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ACT-01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RF-01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CU-02 Validar y corregir requerimiento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CU-01 (corregir) · CU-02 (validar)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ACT-01, 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CU-03 Aprobar o rechazar requerimiento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UC-RF03, UC-RF04 «extend»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RF-03, RF-04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IN-01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 Registrar perfil y criterios del puesto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UC-RF05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RF-05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 Configurar y validar vacante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UC-RF06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RF-06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CU-06 Publicar vacante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UC-RF07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IN-02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 Gestionar cuenta y acceso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UC-RF08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RF-08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 Gestionar perfil y CV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UC-RF09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RF-09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CU-09 Registrar postulación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UC-RF10, UC-RF11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RF-10, RF-11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IN-03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CU-10 Consultar y revisar postulaciones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ACT-02, 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CU-11 Registrar preselección o descarte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UC-RF13, UC-RF15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RF-13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 Gestionar cambio de etapa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UC-RF14, UC-RF15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RF-14, RF-15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IN-04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CU-13 Programar evaluación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UC-RF16, UC-RF17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RF-16, RF-17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CU-14 Programar entrevista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UC-RF18, UC-RF17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RF-18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CU-15 Registrar resultados de evaluación y entrevista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UC-RF19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ACT-05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RF-19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IN-05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CU-16 Validar rangos y ponderaciones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CU-04 · CU-09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UC-RF20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— (incluido)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RF-20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CU-17 Consultar ranking y comparación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CU-10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UC-RF21, UC-RF22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ACT-02, 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RF-21, RF-22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IN-06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CU-18 Registrar decisión final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CU-11 · CU-13 (consulta de auditoría)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UC-RF23 «human decision», UC-RF27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ACT-03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RF-23, RF-27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 · IN-08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CU-19 Registrar selección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UC-RF24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RF-24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CU-20 Cerrar convocatoria y notificar resultado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CU-12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UC-RF25, UC-RF26 «include»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ACT-02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RF-25, RF-26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IN-07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Los 13 CU agrupados de v1.0 (se conservan)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3122"/>
        <w:gridCol w:w="2054"/>
        <w:gridCol w:w="2054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CU (v1.0)</w:t>
            </w:r>
          </w:p>
        </w:tc>
        <w:tc>
          <w:tcPr>
            <w:tcW w:w="312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Caso de uso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Actor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RF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Gestionar requerimiento de personal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RF-01, RF-02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CU-02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requerimiento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CU-03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Aprobar o rechazar requerimiento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RF-03, RF-04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CU-04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Configurar y publicar vacante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RF-05, RF-06, RF-07, RF-20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CU-05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Registrarse y gestionar perfil/CV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RF-08, RF-09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CU-06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Postular a una vacante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RF-10, RF-11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CU-07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postulaciones y gestionar etapas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RF-12, RF-13, RF-14, RF-15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CU-08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evaluación o entrevista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RF-16, RF-17, RF-18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CU-09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resultados de evaluación/entrevista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RF-19, RF-20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CU-10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Consultar ranking y comparación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HH., 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RF-21, RF-22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CU-11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decisión final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CU-12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selección y cerrar convocatoria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RF-24, RF-25, RF-26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CU-13</w:t>
            </w:r>
          </w:p>
        </w:tc>
        <w:tc>
          <w:tcPr>
            <w:tcW w:w="312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Consultar auditoría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RF-27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Las tres vistas se conservan: 20 CU académicos (F9), 13 CU agrupados (informe v1.0) y 29 UC-RF técnicos (F22/F23, uno por RF, con UC-RF28 candidato y UC-RF29 experimental). No se renumera ninguna.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Observaciones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03"/>
        <w:gridCol w:w="1643"/>
        <w:gridCol w:w="5669"/>
      </w:tblGrid>
      <w:tr>
        <w:trPr>
          <w:cantSplit/>
          <w:tblHeader/>
        </w:trPr>
        <w:tc>
          <w:tcPr>
            <w:tcW w:w="90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Tema</w:t>
            </w:r>
          </w:p>
        </w:tc>
        <w:tc>
          <w:tcPr>
            <w:tcW w:w="566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Nombres de CU-01 a CU-20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F9 no registra los nombres, solo la numeración y los RF. La F27B asigna el nombre del RF principal que agrupa cada CU, sin renumerar. El equipo debe confirmarlos.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Consulta de auditoría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 la vista de 20 CU, RF-27 figura «incluido en CU-18» (F9). La consulta de auditoría del Aprobador existe (CU-13 agrupado, UC-RF27), pero no tiene un CU académico propio. </w:t>
            </w:r>
            <w:r>
              <w:rPr>
                <w:b/>
                <w:bCs/>
                <w:sz w:val="16"/>
                <w:szCs w:val="16"/>
              </w:rPr>
              <w:t xml:space="preserve">Propuesta, pendiente de decisión del equipo:</w:t>
            </w:r>
            <w:r>
              <w:rPr>
                <w:sz w:val="16"/>
                <w:szCs w:val="16"/>
              </w:rPr>
              <w:t xml:space="preserve"> CU-21 «Consultar auditoría». No se crea en esta fase.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CU-16 sin actor directo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 un caso incluido («include») por CU-05, CU-15 y CU-17. Sus actores indirectos son RR. HH. (al configurar) y el Evaluador (al registrar). En UML es válido; no es un caso huérfano.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CU-10 y el Aprobador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F9 asigna CU-10 solo a RR. HH. La implementación también permite la consulta del Aprobador / Dirección (UC-RF12), así que se asocian ambos. El F9 publicado no se modifica.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de la entrevista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entrevista también envía la convocatoria de RF-17 (UC-RF18 incluye UC-RF17), aunque el nombre del RF dice «evaluación».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Antecedente superado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diagrama de CU del F9 v1.0 (anexo B) mostraba al Administrador de la Organización, al Superadministrador SaaS, suscripciones y banco de talentos, que están fuera del alcance. La F24 lo sustituyó por UC-01 (D-04). Se conserva solo como antecedente.</w:t>
            </w:r>
          </w:p>
        </w:tc>
      </w:tr>
      <w:tr>
        <w:trPr>
          <w:cantSplit/>
        </w:trPr>
        <w:tc>
          <w:tcPr>
            <w:tcW w:w="90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O-F8-07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Extensiones</w:t>
            </w:r>
          </w:p>
        </w:tc>
        <w:tc>
          <w:tcPr>
            <w:tcW w:w="566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RF-28 (candidato) y RF-29 (experimental) no forman parte de los 20 CU. Solo aparecen en la vista técnica UC-RF (UC-RF28 «propuesto v1.1», UC-RF29 «experimental»).</w:t>
            </w:r>
          </w:p>
        </w:tc>
      </w:tr>
    </w:tbl>
    <w:p>
      <w:pPr>
        <w:spacing w:after="0"/>
        <w:ind w:left="284"/>
      </w:pPr>
    </w:p>
    <w:p>
      <w:pPr>
        <w:spacing w:after="60"/>
        <w:jc w:val="center"/>
      </w:pPr>
      <w:r>
        <w:drawing>
          <wp:inline distT="0" distB="0" distL="0" distR="0">
            <wp:extent cx="5400000" cy="2923282"/>
            <wp:docPr id="103" name="antecedente-cu-f9-v1.0-anexo-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antecedente-cu-f9-v1.0-anexo-B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3. Antecedente superado: diagrama de CU del F9 v1.0 (anexo B, copia sin modificar). Incluye actores fuera del alcance (O-F8-06).</w:t>
      </w:r>
    </w:p>
    <w:sectPr w:rsidR="00757272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87DCA" w14:textId="77777777" w:rsidR="00DD798E" w:rsidRDefault="00DD798E" w:rsidP="007A4B26">
      <w:pPr>
        <w:spacing w:after="0" w:line="240" w:lineRule="auto"/>
      </w:pPr>
      <w:r>
        <w:separator/>
      </w:r>
    </w:p>
  </w:endnote>
  <w:endnote w:type="continuationSeparator" w:id="0">
    <w:p w14:paraId="77B3C357" w14:textId="77777777" w:rsidR="00DD798E" w:rsidRDefault="00DD798E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A0A83" w14:textId="77777777" w:rsidR="00DD798E" w:rsidRDefault="00DD798E" w:rsidP="007A4B26">
      <w:pPr>
        <w:spacing w:after="0" w:line="240" w:lineRule="auto"/>
      </w:pPr>
      <w:r>
        <w:separator/>
      </w:r>
    </w:p>
  </w:footnote>
  <w:footnote w:type="continuationSeparator" w:id="0">
    <w:p w14:paraId="521BA8E2" w14:textId="77777777" w:rsidR="00DD798E" w:rsidRDefault="00DD798E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47B73"/>
    <w:rsid w:val="0058190E"/>
    <w:rsid w:val="005D07C1"/>
    <w:rsid w:val="007438E4"/>
    <w:rsid w:val="00757272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CE3ED3"/>
    <w:rsid w:val="00DB3D15"/>
    <w:rsid w:val="00DD2621"/>
    <w:rsid w:val="00DD5913"/>
    <w:rsid w:val="00DD798E"/>
    <w:rsid w:val="00E047A5"/>
    <w:rsid w:val="00E37272"/>
    <w:rsid w:val="00EE7DF9"/>
    <w:rsid w:val="00F6625E"/>
    <w:rsid w:val="00FF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Relationship Id="rId103" Type="http://schemas.openxmlformats.org/officeDocument/2006/relationships/image" Target="media/f27b_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105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08 — Diagrama de casos de uso</dc:title>
  <dc:subject/>
  <dc:creator>Coronacion Meza Fredy; Peña Arroyo Anthony; Vila Meza Luis Antonio</dc:creator>
  <cp:keywords/>
  <dc:description/>
  <cp:lastModifiedBy>Equipo del proyecto</cp:lastModifiedBy>
  <cp:revision>9</cp:revision>
  <dcterms:created xsi:type="dcterms:W3CDTF">2026-03-16T06:30:00Z</dcterms:created>
  <dcterms:modified xsi:type="dcterms:W3CDTF">2026-04-08T16:15:00Z</dcterms:modified>
</cp:coreProperties>
</file>