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60"/>
      </w:pPr>
    </w:p>
    <w:p>
      <w:pPr>
        <w:pStyle w:val="Title"/>
      </w:pPr>
      <w:r>
        <w:t>ANÁLISIS DE CALIDAD CON SONARQUBE</w:t>
      </w:r>
    </w:p>
    <w:p>
      <w:pPr>
        <w:pStyle w:val="Subtitle"/>
      </w:pPr>
      <w:r>
        <w:t>SaaS Reclutamiento Multiempresa</w:t>
      </w:r>
    </w:p>
    <w:p>
      <w:r>
        <w:t>Evidencias V1 – Línea Base / Antes de las Mejoras</w:t>
      </w:r>
    </w:p>
    <w:p>
      <w:pPr>
        <w:spacing w:after="4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2"/>
              </w:rPr>
              <w:t>Dato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2"/>
              </w:rPr>
              <w:t>Valor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2"/>
              </w:rPr>
              <w:t>Proyecto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2"/>
              </w:rPr>
              <w:t>SaaS Reclutamiento Multiempresa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2"/>
              </w:rPr>
              <w:t>Herramienta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2"/>
              </w:rPr>
              <w:t>SonarQube Community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2"/>
              </w:rPr>
              <w:t>Entorno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2"/>
              </w:rPr>
              <w:t>macOS Apple Silicon + Docker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2"/>
              </w:rPr>
              <w:t>Fecha de análisis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2"/>
              </w:rPr>
              <w:t>20 de octubre de 2026, 16:01:36 America/Lima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2"/>
              </w:rPr>
              <w:t>Versión analizada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2"/>
              </w:rPr>
              <w:t>1.1; paquete de evidencias V1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2"/>
              </w:rPr>
              <w:t>Project Key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2"/>
              </w:rPr>
              <w:t>saas-reclutamiento-multiempresa</w:t>
            </w:r>
          </w:p>
        </w:tc>
      </w:tr>
    </w:tbl>
    <w:p>
      <w:pPr>
        <w:spacing w:after="20"/>
      </w:pPr>
    </w:p>
    <w:p>
      <w:r>
        <w:t>Práctica universitaria de Pruebas y Calidad de Software</w:t>
      </w:r>
    </w:p>
    <w:p>
      <w:r>
        <w:t>La línea base registra cinco Issues abiertos y cobertura global de 66.5 %. Constituye el punto de comparación para mejoras posteriores, no una certificación de producción.</w:t>
      </w:r>
    </w:p>
    <w:p>
      <w:pPr>
        <w:sectPr>
          <w:footerReference w:type="default" r:id="rId9"/>
          <w:pgSz w:w="12240" w:h="15840"/>
          <w:pgMar w:top="936" w:right="1080" w:bottom="936" w:left="1080" w:header="288" w:footer="317" w:gutter="0"/>
          <w:cols w:space="720"/>
          <w:docGrid w:linePitch="360"/>
        </w:sectPr>
      </w:pPr>
    </w:p>
    <w:p>
      <w:pPr>
        <w:pStyle w:val="Heading1"/>
      </w:pPr>
      <w:r>
        <w:t>1 INTRODUCCIÓN</w:t>
      </w:r>
    </w:p>
    <w:p>
      <w:r>
        <w:t>SonarQube aporta análisis estático y medidas de calidad para identificar riesgos y deuda técnica. Este informe conserva el estado anterior a las mejoras V2 del SaaS Reclutamiento Multiempresa.</w:t>
      </w:r>
    </w:p>
    <w:p>
      <w:r>
        <w:t>El alcance definido en sonar-project.properties incluye app/, resources/js y routes: PHP y componentes React/TypeScript se analizan conjuntamente. Las pruebas PHP se clasifican en tests/. La cobertura procede de PHPUnit con PCOV y se entrega a Sonar mediante un reporte Clover.</w:t>
      </w:r>
    </w:p>
    <w:p>
      <w:r>
        <w:t>Las capturas constituyen evidencia visual; las métricas tradicionales y los resultados de ejecución se contrastan con RESULTADOS_SONARQUBE_MAC.md. V1 designa este paquete de línea base y no cambia la versión académica 1.1 ni los requerimientos del producto.</w:t>
      </w:r>
    </w:p>
    <w:p>
      <w:pPr>
        <w:pStyle w:val="Heading1"/>
      </w:pPr>
      <w:r>
        <w:t>2 ENTORNO DE ANÁLISIS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26"/>
        <w:gridCol w:w="6754"/>
      </w:tblGrid>
      <w:tr>
        <w:trPr>
          <w:cantSplit/>
          <w:tblHeader/>
        </w:trPr>
        <w:tc>
          <w:tcPr>
            <w:tcW w:type="dxa" w:w="33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Elemento</w:t>
            </w:r>
          </w:p>
        </w:tc>
        <w:tc>
          <w:tcPr>
            <w:tcW w:type="dxa" w:w="67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Valor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macOS</w:t>
            </w:r>
          </w:p>
        </w:tc>
        <w:tc>
          <w:tcPr>
            <w:tcW w:type="dxa" w:w="67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27.0.1, build 26A434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Arquitectura</w:t>
            </w:r>
          </w:p>
        </w:tc>
        <w:tc>
          <w:tcPr>
            <w:tcW w:type="dxa" w:w="67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arm64 en Mac e imágenes PHP/Sonar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Docker Engine / CLI</w:t>
            </w:r>
          </w:p>
        </w:tc>
        <w:tc>
          <w:tcPr>
            <w:tcW w:type="dxa" w:w="67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29.7.2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Docker Compose</w:t>
            </w:r>
          </w:p>
        </w:tc>
        <w:tc>
          <w:tcPr>
            <w:tcW w:type="dxa" w:w="67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v5.5.1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SonarQube Community</w:t>
            </w:r>
          </w:p>
        </w:tc>
        <w:tc>
          <w:tcPr>
            <w:tcW w:type="dxa" w:w="67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26.10.0.133078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SonarScanner CLI</w:t>
            </w:r>
          </w:p>
        </w:tc>
        <w:tc>
          <w:tcPr>
            <w:tcW w:type="dxa" w:w="67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8.1.0.6389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PHP Docker</w:t>
            </w:r>
          </w:p>
        </w:tc>
        <w:tc>
          <w:tcPr>
            <w:tcW w:type="dxa" w:w="67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8.4.25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Laravel</w:t>
            </w:r>
          </w:p>
        </w:tc>
        <w:tc>
          <w:tcPr>
            <w:tcW w:type="dxa" w:w="67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13.31.0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Node Docker</w:t>
            </w:r>
          </w:p>
        </w:tc>
        <w:tc>
          <w:tcPr>
            <w:tcW w:type="dxa" w:w="67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22.23.2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PHPUnit</w:t>
            </w:r>
          </w:p>
        </w:tc>
        <w:tc>
          <w:tcPr>
            <w:tcW w:type="dxa" w:w="67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12.5.35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PCOV</w:t>
            </w:r>
          </w:p>
        </w:tc>
        <w:tc>
          <w:tcPr>
            <w:tcW w:type="dxa" w:w="67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1.0.12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Project Key</w:t>
            </w:r>
          </w:p>
        </w:tc>
        <w:tc>
          <w:tcPr>
            <w:tcW w:type="dxa" w:w="67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saas-reclutamiento-multiempresa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Project Name</w:t>
            </w:r>
          </w:p>
        </w:tc>
        <w:tc>
          <w:tcPr>
            <w:tcW w:type="dxa" w:w="67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SaaS Reclutamiento Multiempresa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936" w:right="1080" w:bottom="936" w:left="1080" w:header="288" w:footer="317" w:gutter="0"/>
          <w:cols w:space="720"/>
          <w:docGrid w:linePitch="360"/>
        </w:sectPr>
      </w:pPr>
    </w:p>
    <w:p>
      <w:pPr>
        <w:pStyle w:val="Heading1"/>
      </w:pPr>
      <w:r>
        <w:t>3 METODOLOGÍA</w:t>
      </w:r>
    </w:p>
    <w:p>
      <w:r>
        <w:t>1. Comprobar Docker Desktop y disponibilidad del Engine.</w:t>
      </w:r>
    </w:p>
    <w:p>
      <w:r>
        <w:t>2. Levantar el SaaS y verificar app, PostgreSQL, Redis, queue y el endpoint /health.</w:t>
      </w:r>
    </w:p>
    <w:p>
      <w:r>
        <w:t>3. Ejecutar PHPUnit contra la base local de pruebas, no contra los datos de demostración.</w:t>
      </w:r>
    </w:p>
    <w:p>
      <w:r>
        <w:t>4. Generar Clover con PCOV y normalizar rutas del contenedor a rutas relativas del proyecto.</w:t>
      </w:r>
    </w:p>
    <w:p>
      <w:r>
        <w:t>5. Ejecutar SonarScanner con la configuración persistente y autenticación privada.</w:t>
      </w:r>
    </w:p>
    <w:p>
      <w:r>
        <w:t>6. Esperar el procesamiento SUCCESS del servidor para la misma Project Key.</w:t>
      </w:r>
    </w:p>
    <w:p>
      <w:r>
        <w:t>7. Revisar Overview, Quality Gate, Issues, Security Hotspots y Measures.</w:t>
      </w:r>
    </w:p>
    <w:p>
      <w:r>
        <w:t>8. Registrar métricas globales, distinguir MQR de clasificación tradicional y guardar los resultados.</w:t>
      </w:r>
    </w:p>
    <w:p>
      <w:r>
        <w:t>9. Preservar las treinta capturas y el Markdown como línea base anterior a las correcciones.</w:t>
      </w:r>
    </w:p>
    <w:p>
      <w:r>
        <w:t>SonarScanner confirmó EXECUTION SUCCESS y el servidor procesó el análisis el 20/10/2026. La revisión SCM reportada fue b67f6443fb2bb71e736a60a645a15bd1fa0e7de6; el análisis incluyó los ajustes locales de preparación presentes en el working tree.</w:t>
      </w:r>
    </w:p>
    <w:p>
      <w:pPr>
        <w:pStyle w:val="Heading1"/>
      </w:pPr>
      <w:r>
        <w:t>4 RESULTADOS GENERALES V1</w:t>
      </w:r>
    </w:p>
    <w:p>
      <w:r>
        <w:t>El Quality Gate aparece OK, pero el primer análisis devolvió conditions: []. Las cifras siguientes describen el alcance completo y mantienen visibles los hallazgos pendientes.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048"/>
        <w:gridCol w:w="4032"/>
      </w:tblGrid>
      <w:tr>
        <w:trPr>
          <w:cantSplit/>
          <w:tblHeader/>
        </w:trPr>
        <w:tc>
          <w:tcPr>
            <w:tcW w:type="dxa" w:w="60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Indicador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Resultado V1</w:t>
            </w:r>
          </w:p>
        </w:tc>
      </w:tr>
      <w:tr>
        <w:trPr>
          <w:cantSplit/>
        </w:trPr>
        <w:tc>
          <w:tcPr>
            <w:tcW w:type="dxa" w:w="60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Quality Gate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OK</w:t>
            </w:r>
          </w:p>
        </w:tc>
      </w:tr>
      <w:tr>
        <w:trPr>
          <w:cantSplit/>
        </w:trPr>
        <w:tc>
          <w:tcPr>
            <w:tcW w:type="dxa" w:w="60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Coverage global / app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66.5 % / 89.6 %</w:t>
            </w:r>
          </w:p>
        </w:tc>
      </w:tr>
      <w:tr>
        <w:trPr>
          <w:cantSplit/>
        </w:trPr>
        <w:tc>
          <w:tcPr>
            <w:tcW w:type="dxa" w:w="60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Duplicación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0.0 %</w:t>
            </w:r>
          </w:p>
        </w:tc>
      </w:tr>
      <w:tr>
        <w:trPr>
          <w:cantSplit/>
        </w:trPr>
        <w:tc>
          <w:tcPr>
            <w:tcW w:type="dxa" w:w="60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Issues abiertos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60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Bugs tradicionales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60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Vulnerabilities tradicionales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60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Code Smells tradicionales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60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Security Hotspots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0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936" w:right="1080" w:bottom="936" w:left="1080" w:header="288" w:footer="317" w:gutter="0"/>
          <w:cols w:space="720"/>
          <w:docGrid w:linePitch="360"/>
        </w:sectPr>
      </w:pPr>
    </w:p>
    <w:p>
      <w:pPr>
        <w:pStyle w:val="Heading1"/>
      </w:pPr>
      <w:r>
        <w:t>4 RESULTADOS GENERALES V1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20"/>
        <w:gridCol w:w="3528"/>
        <w:gridCol w:w="4032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Métrica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Tradicional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MQR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Security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C; 2 Vulnerabilities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C; 2 impactos Security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Reliability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A; 0 Bugs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C; 3 impactos Reliability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Maintainability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A; 3 Code Smells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A; 1 impacto Maintainability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Deuda / esfuerzo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Technical Debt: 30 min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Maintainability: 5 min; Reliability: 30 min</w:t>
            </w:r>
          </w:p>
        </w:tc>
      </w:tr>
    </w:tbl>
    <w:p>
      <w:pPr>
        <w:spacing w:after="20"/>
      </w:pPr>
    </w:p>
    <w:p>
      <w:r>
        <w:t>Un Issue puede afectar más de una cualidad MQR. S6843 impacta Reliability y Maintainability; sumar 2 + 3 + 1 produciría seis impactos, no seis Issues únicos. La UI MQR no invalida los conteos tradicionales.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552"/>
        <w:gridCol w:w="3528"/>
      </w:tblGrid>
      <w:tr>
        <w:trPr>
          <w:cantSplit/>
          <w:tblHeader/>
        </w:trPr>
        <w:tc>
          <w:tcPr>
            <w:tcW w:type="dxa" w:w="65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Métrica agregada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Valor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Cyclomatic Complexity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2047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Cognitive Complexity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687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Lines of Code (ncloc)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19495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Líneas a cubrir / sin cubrir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4379 / 1469</w:t>
            </w:r>
          </w:p>
        </w:tc>
      </w:tr>
    </w:tbl>
    <w:p>
      <w:pPr>
        <w:spacing w:after="20"/>
      </w:pPr>
    </w:p>
    <w:p>
      <w:r>
        <w:t>Las estimaciones de deuda son minutos teóricos de remediación. No representan tiempo real de trabajo ni una promesa de duración de las correcciones.</w:t>
      </w:r>
    </w:p>
    <w:p>
      <w:r>
        <w:t>Evidencias obligatorias: Dashboard 01, Quality Gate 02, Measures 04, Coverage 05 e Issues 06. Las restantes complementan las métricas y los cinco detalles de hallazgos.</w:t>
      </w:r>
    </w:p>
    <w:p>
      <w:pPr>
        <w:sectPr>
          <w:pgSz w:w="12240" w:h="15840"/>
          <w:pgMar w:top="936" w:right="1080" w:bottom="936" w:left="1080" w:header="288" w:footer="317" w:gutter="0"/>
          <w:cols w:space="720"/>
          <w:docGrid w:linePitch="360"/>
        </w:sectPr>
      </w:pPr>
    </w:p>
    <w:p>
      <w:pPr>
        <w:pStyle w:val="Heading1"/>
      </w:pPr>
      <w:r>
        <w:t>5 DASHBOARD Y OVERVIEW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1" name="Picture 1" descr="Dashboard / Overview. Quality gate Passed, 5 issues abiertos, Coverage 66.5 %, duplicación 0.0 %; versión 1.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01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1. Dashboard del proyecto</w:t>
        <w:br/>
        <w:t>V1_01_Dashboard.png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Quality gate Passed, 5 issues abiertos, Coverage 66.5 %, duplicación 0.0 %; versión 1.1.</w:t>
      </w:r>
    </w:p>
    <w:p>
      <w:pPr>
        <w:spacing w:after="60" w:line="240" w:lineRule="auto"/>
      </w:pPr>
      <w:r>
        <w:rPr>
          <w:sz w:val="20"/>
        </w:rPr>
        <w:t>La línea base conserva cinco Issues aunque el Gate figure aprobado. Estos valores describen el análisis previo a V2.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Listado global de proyectos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2" name="Picture 2" descr="Projects / listado global. Tarjeta SaaS: Passed, Coverage 66.5 %, duplicación 0.0 %, indicadores MQR; aparece otro proyec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25_Projects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2. Listado global de proyectos</w:t>
        <w:br/>
        <w:t>V1_25_Projects_Overview.png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Tarjeta SaaS: Passed, Coverage 66.5 %, duplicación 0.0 %, indicadores MQR; aparece otro proyecto.</w:t>
      </w:r>
    </w:p>
    <w:p>
      <w:pPr>
        <w:spacing w:after="60" w:line="240" w:lineRule="auto"/>
      </w:pPr>
      <w:r>
        <w:rPr>
          <w:sz w:val="20"/>
        </w:rPr>
        <w:t>Solo la tarjeta del SaaS pertenece a esta evaluación. Las cifras del otro proyecto no deben incorporarse a los resultados V1.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1"/>
      </w:pPr>
      <w:r>
        <w:t>6 QUALITY GATE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3" name="Picture 3" descr="Analysis / Summary. Quality gate Passed; Overall Code: Security 2/C, Reliability 3/C, Maintainability 1/A (MQR); Coverage 66.5 %, duplicación 0.0 %, Hotspots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02_Quality_G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3. Quality Gate y Summary</w:t>
        <w:br/>
        <w:t>V1_02_Quality_Gate.png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Quality gate Passed; Overall Code: Security 2/C, Reliability 3/C, Maintainability 1/A (MQR); Coverage 66.5 %, duplicación 0.0 %, Hotspots 0.</w:t>
      </w:r>
    </w:p>
    <w:p>
      <w:pPr>
        <w:spacing w:after="60" w:line="240" w:lineRule="auto"/>
      </w:pPr>
      <w:r>
        <w:rPr>
          <w:sz w:val="20"/>
        </w:rPr>
        <w:t>Los conteos MQR se superponen por cualidad. Security C y Reliability C deben explicarse junto con las métricas tradicionales.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Condiciones de Sonar way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4" name="Picture 4" descr="Quality gates / Sonar way. Definición global: cuatro condiciones de código nuevo; gate Built-in y Defaul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03_Quality_Gate_Condi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4. Condiciones de Sonar way</w:t>
        <w:br/>
        <w:t>V1_03_Quality_Gate_Conditions.png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Definición global: cuatro condiciones de código nuevo; gate Built-in y Default.</w:t>
      </w:r>
    </w:p>
    <w:p>
      <w:pPr>
        <w:spacing w:after="60" w:line="240" w:lineRule="auto"/>
      </w:pPr>
      <w:r>
        <w:rPr>
          <w:sz w:val="20"/>
        </w:rPr>
        <w:t>Son umbrales de código nuevo. La definición del gate no demuestra que esas condiciones hayan sido evaluadas en el primer análisis.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1"/>
      </w:pPr>
      <w:r>
        <w:t>6 QUALITY GATE</w:t>
      </w:r>
    </w:p>
    <w:p>
      <w:r>
        <w:t>Sonar way define cero Issues nuevos, cobertura de nuevo código de al menos 80 %, duplicación de nuevo código de como máximo 3 % y revisión de los nuevos Security Hotspots cuando corresponda.</w:t>
      </w:r>
    </w:p>
    <w:p>
      <w:r>
        <w:t>El primer análisis registró conditions: []. El estado OK no prueba que el sistema esté libre de problemas ni que su cobertura global supere 80 %. Las métricas globales y las condiciones de código nuevo deben explicarse por separado.</w:t>
      </w:r>
    </w:p>
    <w:p>
      <w:r>
        <w:t>Los cinco Issues, las dos vulnerabilidades reportadas y las deudas de las demás herramientas permanecen como hechos de V1. La definición del gate no se cambió para conseguir un resultado favorable.</w:t>
      </w:r>
    </w:p>
    <w:p>
      <w:pPr>
        <w:sectPr>
          <w:pgSz w:w="12240" w:h="15840"/>
          <w:pgMar w:top="936" w:right="1080" w:bottom="936" w:left="1080" w:header="288" w:footer="317" w:gutter="0"/>
          <w:cols w:space="720"/>
          <w:docGrid w:linePitch="360"/>
        </w:sectPr>
      </w:pPr>
    </w:p>
    <w:p>
      <w:pPr>
        <w:pStyle w:val="Heading1"/>
      </w:pPr>
      <w:r>
        <w:t>7 MEASURES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5" name="Picture 5" descr="Measures / Coverage Overview. Gráfico cobertura/complejidad; panel con Coverage 66.5 %, 4379 líneas a cubrir y 1469 sin cubri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04_Measures_Coverage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5. Measures / Coverage Overview</w:t>
        <w:br/>
        <w:t>V1_04_Measures_Coverage_Overview.png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Gráfico cobertura/complejidad; panel con Coverage 66.5 %, 4379 líneas a cubrir y 1469 sin cubrir.</w:t>
      </w:r>
    </w:p>
    <w:p>
      <w:pPr>
        <w:spacing w:after="60" w:line="240" w:lineRule="auto"/>
      </w:pPr>
      <w:r>
        <w:rPr>
          <w:sz w:val="20"/>
        </w:rPr>
        <w:t>El gráfico relaciona cobertura y complejidad de componentes. Los totales del panel corresponden a todo el alcance analizado.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Measures / Size / Lines of Code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6" name="Picture 6" descr="Measures / Size / Lines of Code. 19495 ncloc: app 6045, resources/js 13335, routes 115; panel 23919 líneas y 288 archiv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24_Lines_Of_C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6. Measures / Size / Lines of Code</w:t>
        <w:br/>
        <w:t>V1_24_Lines_Of_Code.png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19495 ncloc: app 6045, resources/js 13335, routes 115; panel 23919 líneas y 288 archivos.</w:t>
      </w:r>
    </w:p>
    <w:p>
      <w:pPr>
        <w:spacing w:after="60" w:line="240" w:lineRule="auto"/>
      </w:pPr>
      <w:r>
        <w:rPr>
          <w:sz w:val="20"/>
        </w:rPr>
        <w:t>El alcance combina PHP y TypeScript. ncloc excluye comentarios y líneas vacías; no sustituye al total de líneas mostrado aparte.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Measures / Duplications Overview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7" name="Picture 7" descr="Measures / Duplications Overview. Density 0.0 %, líneas, bloques y archivos duplicados 0; gráfico sin pun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14_Duplications_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7. Measures / Duplications Overview</w:t>
        <w:br/>
        <w:t>V1_14_Duplications_Overview.png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Density 0.0 %, líneas, bloques y archivos duplicados 0; gráfico sin puntos.</w:t>
      </w:r>
    </w:p>
    <w:p>
      <w:pPr>
        <w:spacing w:after="60" w:line="240" w:lineRule="auto"/>
      </w:pPr>
      <w:r>
        <w:rPr>
          <w:sz w:val="20"/>
        </w:rPr>
        <w:t>La duplicación del código analizado es 0.0 %. El gráfico vacío es coherente con los contadores cero mostrados.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Measures / Cyclomatic Complexity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8" name="Picture 8" descr="Measures / Cyclomatic Complexity. 2047 global: app 897, resources/js 1142, routes 8; panel cognitiva 687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15_Cyclomatic_Complex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8. Measures / Cyclomatic Complexity</w:t>
        <w:br/>
        <w:t>V1_15_Cyclomatic_Complexity.png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2047 global: app 897, resources/js 1142, routes 8; panel cognitiva 687.</w:t>
      </w:r>
    </w:p>
    <w:p>
      <w:pPr>
        <w:spacing w:after="60" w:line="240" w:lineRule="auto"/>
      </w:pPr>
      <w:r>
        <w:rPr>
          <w:sz w:val="20"/>
        </w:rPr>
        <w:t>La complejidad ciclomática agrega caminos de ejecución. El valor global no es por sí mismo un fallo ni un umbral aprobado.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Measures / Cognitive Complexity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9" name="Picture 9" descr="Measures / Cognitive Complexity. 687 global: app 359, resources/js 328, routes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16_Cognitive_Complex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9. Measures / Cognitive Complexity</w:t>
        <w:br/>
        <w:t>V1_16_Cognitive_Complexity.png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687 global: app 359, resources/js 328, routes 0.</w:t>
      </w:r>
    </w:p>
    <w:p>
      <w:pPr>
        <w:spacing w:after="60" w:line="240" w:lineRule="auto"/>
      </w:pPr>
      <w:r>
        <w:rPr>
          <w:sz w:val="20"/>
        </w:rPr>
        <w:t>La complejidad cognitiva agrega dificultad de lectura. No es una medida de latencia ni debe confundirse con complejidad ciclomática.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Measures / Reliability Overview, MQR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10" name="Picture 10" descr="Measures / Reliability Overview, MQR. 3 issues, rating C y remediación 30 min; gráfico de tres compon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17_Reliability_MQR_Over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10. Measures / Reliability Overview, MQR</w:t>
        <w:br/>
        <w:t>V1_17_Reliability_MQR_Overview.png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3 issues, rating C y remediación 30 min; gráfico de tres componentes.</w:t>
      </w:r>
    </w:p>
    <w:p>
      <w:pPr>
        <w:spacing w:after="60" w:line="240" w:lineRule="auto"/>
      </w:pPr>
      <w:r>
        <w:rPr>
          <w:sz w:val="20"/>
        </w:rPr>
        <w:t>Reliability MQR presenta tres impactos y rating C. El reporte tradicional conserva cero Bugs y Reliability A.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Measures / Reliability Issues, MQR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11" name="Picture 11" descr="Measures / Reliability Issues, MQR. 3 global, todos en resources/js; app, routes y tests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18_Reliability_MQR_By_Directo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11. Measures / Reliability Issues, MQR</w:t>
        <w:br/>
        <w:t>V1_18_Reliability_MQR_By_Directory.png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3 global, todos en resources/js; app, routes y tests 0.</w:t>
      </w:r>
    </w:p>
    <w:p>
      <w:pPr>
        <w:spacing w:after="60" w:line="240" w:lineRule="auto"/>
      </w:pPr>
      <w:r>
        <w:rPr>
          <w:sz w:val="20"/>
        </w:rPr>
        <w:t>Los tres impactos Reliability aparecen en resources/js. Esto localiza la deuda sin probar un defecto funcional en cada flujo.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Measures / Reliability Rating, MQR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12" name="Picture 12" descr="Measures / Reliability Rating, MQR. C global; resources/js C; app, routes y tests 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19_Reliability_MQR_Rat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12. Measures / Reliability Rating, MQR</w:t>
        <w:br/>
        <w:t>V1_19_Reliability_MQR_Rating.png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C global; resources/js C; app, routes y tests A.</w:t>
      </w:r>
    </w:p>
    <w:p>
      <w:pPr>
        <w:spacing w:after="60" w:line="240" w:lineRule="auto"/>
      </w:pPr>
      <w:r>
        <w:rPr>
          <w:sz w:val="20"/>
        </w:rPr>
        <w:t>El rating C global procede del impacto MQR en frontend. No contradice el rating tradicional A basado en Bugs.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Measures / Reliability Remediation, MQR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13" name="Picture 13" descr="Measures / Reliability Remediation, MQR. 30 min global, concentrados en resources/j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20_Reliability_MQR_Remedi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13. Measures / Reliability Remediation, MQR</w:t>
        <w:br/>
        <w:t>V1_20_Reliability_MQR_Remediation.png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30 min global, concentrados en resources/js.</w:t>
      </w:r>
    </w:p>
    <w:p>
      <w:pPr>
        <w:spacing w:after="60" w:line="240" w:lineRule="auto"/>
      </w:pPr>
      <w:r>
        <w:rPr>
          <w:sz w:val="20"/>
        </w:rPr>
        <w:t>Sonar estima 30 minutos para impactos Reliability. La coincidencia con la deuda tradicional no convierte ambas métricas en una sola.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Measures / Reliability Issue Severity, MQR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14" name="Picture 14" descr="Measures / Reliability Issue Severity, MQR. Valor numérico 15 global y resources/js; demás carpetas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21_Reliability_MQR_Sever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14. Measures / Reliability Issue Severity, MQR</w:t>
        <w:br/>
        <w:t>V1_21_Reliability_MQR_Severity.png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Valor numérico 15 global y resources/js; demás carpetas 0.</w:t>
      </w:r>
    </w:p>
    <w:p>
      <w:pPr>
        <w:spacing w:after="60" w:line="240" w:lineRule="auto"/>
      </w:pPr>
      <w:r>
        <w:rPr>
          <w:sz w:val="20"/>
        </w:rPr>
        <w:t>El valor numérico 15 pertenece a una métrica agregada de severidad. No significa 15 Issues, Bugs ni minutos.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Measures / Maintainability Rating, MQR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15" name="Picture 15" descr="Measures / Maintainability Rating, MQR. Rating A global y por carpeta; panel: 1 issue, deuda 5 min, ratio 0.0 %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22_Maintainability_MQR_Rat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15. Measures / Maintainability Rating, MQR</w:t>
        <w:br/>
        <w:t>V1_22_Maintainability_MQR_Rating.png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Rating A global y por carpeta; panel: 1 issue, deuda 5 min, ratio 0.0 %.</w:t>
      </w:r>
    </w:p>
    <w:p>
      <w:pPr>
        <w:spacing w:after="60" w:line="240" w:lineRule="auto"/>
      </w:pPr>
      <w:r>
        <w:rPr>
          <w:sz w:val="20"/>
        </w:rPr>
        <w:t>MQR muestra un impacto Maintainability y cinco minutos de deuda. Tradicionalmente existen tres Code Smells con 30 minutos de deuda.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1"/>
      </w:pPr>
      <w:r>
        <w:t>7 MEASURES</w:t>
      </w:r>
    </w:p>
    <w:p>
      <w:r>
        <w:t>Lines of Code muestra 19495 líneas de código analizadas, con PHP y TypeScript. La duplicación es 0.0 %. La complejidad ciclomática suma 2047 y la cognitiva 687; son agregados diferentes y no métricas de rendimiento.</w:t>
      </w:r>
    </w:p>
    <w:p>
      <w:r>
        <w:t>Reliability MQR localiza tres impactos en resources/js con rating C; la clasificación tradicional mantiene cero Bugs y rating A. Maintainability MQR conserva A con un impacto y cinco minutos estimados, mientras la deuda tradicional por Code Smells suma treinta minutos.</w:t>
      </w:r>
    </w:p>
    <w:p>
      <w:r>
        <w:t>Security se resume en la figura de Summary y en el filtro de Issues de seguridad: dos impactos y rating C. El paquete no contiene una captura dedicada de Measures / Security Overview; no se atribuye esa pantalla a otra imagen.</w:t>
      </w:r>
    </w:p>
    <w:p>
      <w:pPr>
        <w:sectPr>
          <w:pgSz w:w="12240" w:h="15840"/>
          <w:pgMar w:top="936" w:right="1080" w:bottom="936" w:left="1080" w:header="288" w:footer="317" w:gutter="0"/>
          <w:cols w:space="720"/>
          <w:docGrid w:linePitch="360"/>
        </w:sectPr>
      </w:pPr>
    </w:p>
    <w:p>
      <w:pPr>
        <w:pStyle w:val="Heading1"/>
      </w:pPr>
      <w:r>
        <w:t>8 COVERAGE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730"/>
        <w:gridCol w:w="2117"/>
        <w:gridCol w:w="2117"/>
        <w:gridCol w:w="2117"/>
      </w:tblGrid>
      <w:tr>
        <w:trPr>
          <w:cantSplit/>
          <w:tblHeader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Alcance</w:t>
            </w:r>
          </w:p>
        </w:tc>
        <w:tc>
          <w:tcPr>
            <w:tcW w:type="dxa" w:w="21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Coverage</w:t>
            </w:r>
          </w:p>
        </w:tc>
        <w:tc>
          <w:tcPr>
            <w:tcW w:type="dxa" w:w="21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A cubrir</w:t>
            </w:r>
          </w:p>
        </w:tc>
        <w:tc>
          <w:tcPr>
            <w:tcW w:type="dxa" w:w="21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Sin cubrir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Global</w:t>
            </w:r>
          </w:p>
        </w:tc>
        <w:tc>
          <w:tcPr>
            <w:tcW w:type="dxa" w:w="21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66.5 %</w:t>
            </w:r>
          </w:p>
        </w:tc>
        <w:tc>
          <w:tcPr>
            <w:tcW w:type="dxa" w:w="21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4379</w:t>
            </w:r>
          </w:p>
        </w:tc>
        <w:tc>
          <w:tcPr>
            <w:tcW w:type="dxa" w:w="21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1469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app/</w:t>
            </w:r>
          </w:p>
        </w:tc>
        <w:tc>
          <w:tcPr>
            <w:tcW w:type="dxa" w:w="21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89.6 %</w:t>
            </w:r>
          </w:p>
        </w:tc>
        <w:tc>
          <w:tcPr>
            <w:tcW w:type="dxa" w:w="21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3249</w:t>
            </w:r>
          </w:p>
        </w:tc>
        <w:tc>
          <w:tcPr>
            <w:tcW w:type="dxa" w:w="21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339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resources/js</w:t>
            </w:r>
          </w:p>
        </w:tc>
        <w:tc>
          <w:tcPr>
            <w:tcW w:type="dxa" w:w="21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0.0 %</w:t>
            </w:r>
          </w:p>
        </w:tc>
        <w:tc>
          <w:tcPr>
            <w:tcW w:type="dxa" w:w="21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1073</w:t>
            </w:r>
          </w:p>
        </w:tc>
        <w:tc>
          <w:tcPr>
            <w:tcW w:type="dxa" w:w="21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1073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routes</w:t>
            </w:r>
          </w:p>
        </w:tc>
        <w:tc>
          <w:tcPr>
            <w:tcW w:type="dxa" w:w="21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0.0 %</w:t>
            </w:r>
          </w:p>
        </w:tc>
        <w:tc>
          <w:tcPr>
            <w:tcW w:type="dxa" w:w="21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57</w:t>
            </w:r>
          </w:p>
        </w:tc>
        <w:tc>
          <w:tcPr>
            <w:tcW w:type="dxa" w:w="21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57</w:t>
            </w:r>
          </w:p>
        </w:tc>
      </w:tr>
    </w:tbl>
    <w:p>
      <w:pPr>
        <w:spacing w:after="20"/>
      </w:pPr>
    </w:p>
    <w:p>
      <w:r>
        <w:t>PHPUnit genera el reporte Clover con PCOV; SonarQube importa ese reporte, no genera la cobertura ni sustituye las pruebas. La colección PHP actual se limita a app/. Frontend y rutas carecen de reporte propio en el análisis.</w:t>
      </w:r>
    </w:p>
    <w:p>
      <w:r>
        <w:t>El XML documentado contiene 151 archivos y 2499 de 2777 sentencias cubiertas, aproximadamente 90.0 %. Sonar calcula líneas ejecutables: ese porcentaje de sentencias no reemplaza al 89.6 % de app/ ni al 66.5 % global.</w:t>
      </w:r>
    </w:p>
    <w:p>
      <w:r>
        <w:t>No se excluyó código propio para elevar el porcentaje. El 0.0 % de frontend/rutas describe evidencia de cobertura no importada y no demuestra ausencia absoluta de pruebas sobre esos flujos.</w:t>
      </w:r>
    </w:p>
    <w:p>
      <w:pPr>
        <w:sectPr>
          <w:pgSz w:w="12240" w:h="15840"/>
          <w:pgMar w:top="936" w:right="1080" w:bottom="936" w:left="1080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Measures / Coverage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16" name="Picture 16" descr="Measures / Coverage. Desglose: app 89.6 %, resources/js 0.0 %, routes 0.0 %; líneas sin cubrir por carpe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05_Cover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16. Measures / Coverage</w:t>
        <w:br/>
        <w:t>V1_05_Coverage.png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Desglose: app 89.6 %, resources/js 0.0 %, routes 0.0 %; líneas sin cubrir por carpeta.</w:t>
      </w:r>
    </w:p>
    <w:p>
      <w:pPr>
        <w:spacing w:after="60" w:line="240" w:lineRule="auto"/>
      </w:pPr>
      <w:r>
        <w:rPr>
          <w:sz w:val="20"/>
        </w:rPr>
        <w:t>El reporte Clover cubre app/. La ausencia de reporte frontend y de rutas reduce el porcentaje global sin justificar exclusiones artificiales.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Measures / Lines to Cover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17" name="Picture 17" descr="Measures / Lines to Cover. 4379 global: app 3249, resources/js 1073, routes 57; tests sin valor aplica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11_Lines_To_Cov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17. Measures / Lines to Cover</w:t>
        <w:br/>
        <w:t>V1_11_Lines_To_Cover.png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4379 global: app 3249, resources/js 1073, routes 57; tests sin valor aplicable.</w:t>
      </w:r>
    </w:p>
    <w:p>
      <w:pPr>
        <w:spacing w:after="60" w:line="240" w:lineRule="auto"/>
      </w:pPr>
      <w:r>
        <w:rPr>
          <w:sz w:val="20"/>
        </w:rPr>
        <w:t>Las líneas a cubrir forman el denominador de la medida. Sonar aplica su propio cálculo de líneas ejecutables.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Measures / Uncovered Lines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18" name="Picture 18" descr="Measures / Uncovered Lines. 1469 global: app 339, resources/js 1073, routes 57; porcentajes por carpe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12_Uncovered_Lin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18. Measures / Uncovered Lines</w:t>
        <w:br/>
        <w:t>V1_12_Uncovered_Lines.png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1469 global: app 339, resources/js 1073, routes 57; porcentajes por carpeta.</w:t>
      </w:r>
    </w:p>
    <w:p>
      <w:pPr>
        <w:spacing w:after="60" w:line="240" w:lineRule="auto"/>
      </w:pPr>
      <w:r>
        <w:rPr>
          <w:sz w:val="20"/>
        </w:rPr>
        <w:t>Las 1469 líneas sin cobertura se distribuyen entre backend, frontend y rutas. Esta captura complementa el desglose de Coverage.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Measures / Line Coverage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19" name="Picture 19" descr="Measures / Line Coverage. 66.5 % global; app 89.6 %, resources/js y routes 0.0 %; líneas sin cubri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13_Line_Cover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19. Measures / Line Coverage</w:t>
        <w:br/>
        <w:t>V1_13_Line_Coverage.png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66.5 % global; app 89.6 %, resources/js y routes 0.0 %; líneas sin cubrir.</w:t>
      </w:r>
    </w:p>
    <w:p>
      <w:pPr>
        <w:spacing w:after="60" w:line="240" w:lineRule="auto"/>
      </w:pPr>
      <w:r>
        <w:rPr>
          <w:sz w:val="20"/>
        </w:rPr>
        <w:t>En esta línea base Coverage y Line Coverage coinciden. Esa igualdad no debe asumirse para reportes futuros con cobertura de condiciones.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1"/>
      </w:pPr>
      <w:r>
        <w:t>9 ISSUES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20"/>
        <w:gridCol w:w="7560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Categoría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Interpretación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Bug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Hallazgo tradicional asociado a un posible defecto de fiabilidad. V1 registra 0.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Vulnerability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Hallazgo de seguridad reportado que requiere revisión contextual. V1 registra 2, sin demostrar explotación automática.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Code Smell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Problema de calidad/mantenibilidad en clasificación tradicional. V1 registra 3; MQR puede atribuirles impacto Reliability.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Security Hotspot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Punto que exige revisión de seguridad; no equivale automáticamente a Vulnerability. V1 registra 0.</w:t>
            </w:r>
          </w:p>
        </w:tc>
      </w:tr>
    </w:tbl>
    <w:p>
      <w:pPr>
        <w:spacing w:after="20"/>
      </w:pPr>
    </w:p>
    <w:p>
      <w:r>
        <w:t>El total son cinco Issues únicos y abiertos. Las cinco severidades tradicionales MAJOR del reporte se diferencian de las etiquetas MQR Medium y Low de la UI. S6843 tiene dos impactos y no se cuenta como dos Issues.</w:t>
      </w:r>
    </w:p>
    <w:p>
      <w:pPr>
        <w:sectPr>
          <w:pgSz w:w="12240" w:h="15840"/>
          <w:pgMar w:top="936" w:right="1080" w:bottom="936" w:left="1080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Analysis / Issues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20" name="Picture 20" descr="Analysis / Issues. Listado general: 5 issues, 45 min de esfuerzo; dos hallazgos de seguridad y comienzo de data-ta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06_Issues_Overvie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20. Analysis / Issues</w:t>
        <w:br/>
        <w:t>V1_06_Issues_Overview.png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Listado general: 5 issues, 45 min de esfuerzo; dos hallazgos de seguridad y comienzo de data-table.</w:t>
      </w:r>
    </w:p>
    <w:p>
      <w:pPr>
        <w:spacing w:after="60" w:line="240" w:lineRule="auto"/>
      </w:pPr>
      <w:r>
        <w:rPr>
          <w:sz w:val="20"/>
        </w:rPr>
        <w:t>El total son cinco incidencias únicas. Los 45 minutos son una estimación global de remediación, no la deuda tradicional de 30 minutos.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Analysis / Issues, lista desplazada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21" name="Picture 21" descr="Analysis / Issues, lista desplazada. Tres tarjetas Code Smell: data-table, regex del test y rechazo Promise; sin filtro de calida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07_Issues_Code_Smell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21. Analysis / Issues, lista desplazada</w:t>
        <w:br/>
        <w:t>V1_07_Issues_Code_Smells.png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Tres tarjetas Code Smell: data-table, regex del test y rechazo Promise; sin filtro de calidad.</w:t>
      </w:r>
    </w:p>
    <w:p>
      <w:pPr>
        <w:spacing w:after="60" w:line="240" w:lineRule="auto"/>
      </w:pPr>
      <w:r>
        <w:rPr>
          <w:sz w:val="20"/>
        </w:rPr>
        <w:t>Esta vista conserva el listado sin filtro. Es respaldo de la vista Reliability y no añade tres incidencias distintas.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Issues / filtro Security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22" name="Picture 22" descr="Issues / filtro Security. 2 issues, 15 min: carga de CV y generador pseudoaleatorio; ambos Open y Security Mediu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08_Security_Issu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22. Issues / filtro Security</w:t>
        <w:br/>
        <w:t>V1_08_Security_Issues.png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2 issues, 15 min: carga de CV y generador pseudoaleatorio; ambos Open y Security Medium.</w:t>
      </w:r>
    </w:p>
    <w:p>
      <w:pPr>
        <w:spacing w:after="60" w:line="240" w:lineRule="auto"/>
      </w:pPr>
      <w:r>
        <w:rPr>
          <w:sz w:val="20"/>
        </w:rPr>
        <w:t>Los dos hallazgos de seguridad requieren revisión contextual. Su clasificación no acredita automáticamente que sean explotables.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Issues / filtro Reliability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23" name="Picture 23" descr="Issues / filtro Reliability. Tres tarjetas TypeScript: roles, regex y Promise; Reliability Medium; data-table además Maintainability L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09_Reliability_Issu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23. Issues / filtro Reliability</w:t>
        <w:br/>
        <w:t>V1_09_Reliability_Issues.png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Tres tarjetas TypeScript: roles, regex y Promise; Reliability Medium; data-table además Maintainability Low.</w:t>
      </w:r>
    </w:p>
    <w:p>
      <w:pPr>
        <w:spacing w:after="60" w:line="240" w:lineRule="auto"/>
      </w:pPr>
      <w:r>
        <w:rPr>
          <w:sz w:val="20"/>
        </w:rPr>
        <w:t>Las tres reglas están tipadas tradicionalmente como Code Smell. MQR les atribuye impacto Reliability, sin convertirlas en Bugs tradicionales.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Issues / filtro Maintainability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24" name="Picture 24" descr="Issues / filtro Maintainability. Un issue en data-table.tsx, L149; impactos Reliability Medium y Maintainability Low; 5 mi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10_Maintainability_Issu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24. Issues / filtro Maintainability</w:t>
        <w:br/>
        <w:t>V1_10_Maintainability_Issues.png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Un issue en data-table.tsx, L149; impactos Reliability Medium y Maintainability Low; 5 min.</w:t>
      </w:r>
    </w:p>
    <w:p>
      <w:pPr>
        <w:spacing w:after="60" w:line="240" w:lineRule="auto"/>
      </w:pPr>
      <w:r>
        <w:rPr>
          <w:sz w:val="20"/>
        </w:rPr>
        <w:t>La incidencia de data-table impacta dos cualidades. Por ello no se deben sumar directamente los contadores MQR.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1"/>
      </w:pPr>
      <w:r>
        <w:t>10 HALLAZGOS INDIVIDUALES</w:t>
      </w:r>
    </w:p>
    <w:p>
      <w:pPr>
        <w:pStyle w:val="Heading2"/>
      </w:pPr>
      <w:r>
        <w:t>10.1 php:S5693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Valor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Archivo y línea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app/Http/Requests/Candidates/CandidateCvRequest.php:20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Tipo tradicional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Vulnerability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Estado V1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OPEN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Prioridad propuesta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ALTA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Severidad tradicional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MAJOR; ver impacto MQR en captura</w:t>
            </w:r>
          </w:p>
        </w:tc>
      </w:tr>
    </w:tbl>
    <w:p>
      <w:pPr>
        <w:spacing w:after="20"/>
      </w:pPr>
    </w:p>
    <w:p>
      <w:pPr>
        <w:pStyle w:val="Heading2"/>
      </w:pPr>
      <w:r>
        <w:t>Hallazgo y contexto</w:t>
      </w:r>
    </w:p>
    <w:p>
      <w:r>
        <w:t>Sonar solicita revisar el límite del contenido HTTP. La captura muestra validación PDF y max construido con recruitment.cv.max_kb; el valor efectivo no aparece en la imagen.</w:t>
      </w:r>
    </w:p>
    <w:p>
      <w:r>
        <w:t>El riesgo potencial es consumo de recursos o inconsistencia de límites. Deben contrastarse configuración Laravel, PHP y servidor sin suprimir la validación ni aumentar arbitrariamente el tamaño.</w:t>
      </w:r>
    </w:p>
    <w:p>
      <w:pPr>
        <w:pStyle w:val="Heading2"/>
      </w:pPr>
      <w:r>
        <w:t>Acción propuesta</w:t>
      </w:r>
    </w:p>
    <w:p>
      <w:r>
        <w:t>Propuesta V2: mantener la regla de negocio, asegurar un límite válido y verificable y probar cargas al límite y por encima. Un hallazgo reportado no demuestra explotación.</w:t>
      </w:r>
    </w:p>
    <w:p>
      <w:r>
        <w:t>La propuesta pertenece a V2. La imagen siguiente conserva el estado anterior a cualquier mejora.</w:t>
      </w:r>
    </w:p>
    <w:p>
      <w:pPr>
        <w:sectPr>
          <w:pgSz w:w="12240" w:h="15840"/>
          <w:pgMar w:top="936" w:right="1080" w:bottom="936" w:left="1080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10.1 php:S5693  Detalle V1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25" name="Picture 25" descr="Issues / detalle php:S5693. L20, Open, Security Medium, 5 min; límite CV construido con config('recruitment.cv.max_kb'); código marcado cubier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26_Vulnerability_PHP_S569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25. 10.1 php:S5693  Detalle V1</w:t>
        <w:br/>
        <w:t>V1_26_Vulnerability_PHP_S5693.png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L20, Open, Security Medium, 5 min; límite CV construido con config('recruitment.cv.max_kb'); código marcado cubierto.</w:t>
      </w:r>
    </w:p>
    <w:p>
      <w:pPr>
        <w:spacing w:after="60" w:line="240" w:lineRule="auto"/>
      </w:pPr>
      <w:r>
        <w:rPr>
          <w:sz w:val="20"/>
        </w:rPr>
        <w:t>Se observa una regla max dinámica, no ausencia total de límite. Debe comprobarse el valor efectivo y su coherencia con la configuración del servidor.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2"/>
      </w:pPr>
      <w:r>
        <w:t>10.2 typescript:S2245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Valor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Archivo y línea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resources/js/components/ui/sidebar.tsx:624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Tipo tradicional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Vulnerability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Estado V1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OPEN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Prioridad propuesta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MEDIA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Severidad tradicional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MAJOR; ver impacto MQR en captura</w:t>
            </w:r>
          </w:p>
        </w:tc>
      </w:tr>
    </w:tbl>
    <w:p>
      <w:pPr>
        <w:spacing w:after="20"/>
      </w:pPr>
    </w:p>
    <w:p>
      <w:pPr>
        <w:pStyle w:val="Heading2"/>
      </w:pPr>
      <w:r>
        <w:t>Hallazgo y contexto</w:t>
      </w:r>
    </w:p>
    <w:p>
      <w:r>
        <w:t>Sonar pide verificar el uso seguro de un generador pseudoaleatorio. El recorte muestra contexto próximo al skeleton del sidebar, pero no la llamada exacta.</w:t>
      </w:r>
    </w:p>
    <w:p>
      <w:r>
        <w:t>No está probado un uso criptográfico ni un flujo explotable. La prioridad inicial se modera por el contexto visual, pendiente de revisar productores y consumidores.</w:t>
      </w:r>
    </w:p>
    <w:p>
      <w:pPr>
        <w:pStyle w:val="Heading2"/>
      </w:pPr>
      <w:r>
        <w:t>Acción propuesta</w:t>
      </w:r>
    </w:p>
    <w:p>
      <w:r>
        <w:t>Propuesta V2: si el valor solo regula apariencia, usar una alternativa determinista que conserve la UX; si se confirma un requisito sensible, usar un mecanismo seguro apropiado y elevar prioridad.</w:t>
      </w:r>
    </w:p>
    <w:p>
      <w:r>
        <w:t>La propuesta pertenece a V2. La imagen siguiente conserva el estado anterior a cualquier mejora.</w:t>
      </w:r>
    </w:p>
    <w:p>
      <w:pPr>
        <w:sectPr>
          <w:pgSz w:w="12240" w:h="15840"/>
          <w:pgMar w:top="936" w:right="1080" w:bottom="936" w:left="1080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10.2 typescript:S2245  Detalle V1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26" name="Picture 26" descr="Issues / detalle typescript:S2245. L624, Open, Security Medium, 10 min; fragmento próximo a sidebar-menu-skeleton; línea de generación fuera del recor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27_Vulnerability_TS_S224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26. 10.2 typescript:S2245  Detalle V1</w:t>
        <w:br/>
        <w:t>V1_27_Vulnerability_TS_S2245.png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L624, Open, Security Medium, 10 min; fragmento próximo a sidebar-menu-skeleton; línea de generación fuera del recorte.</w:t>
      </w:r>
    </w:p>
    <w:p>
      <w:pPr>
        <w:spacing w:after="60" w:line="240" w:lineRule="auto"/>
      </w:pPr>
      <w:r>
        <w:rPr>
          <w:sz w:val="20"/>
        </w:rPr>
        <w:t>El fragmento visible es próximo al skeleton del sidebar. La llamada exacta queda fuera del recorte y exige revisión del código antes de decidir.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2"/>
      </w:pPr>
      <w:r>
        <w:t>10.3 typescript:S6843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Valor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Archivo y línea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resources/js/components/data-table.tsx:149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Tipo tradicional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Code Smell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Estado V1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OPEN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Prioridad propuesta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MEDIA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Severidad tradicional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MAJOR; ver impacto MQR en captura</w:t>
            </w:r>
          </w:p>
        </w:tc>
      </w:tr>
    </w:tbl>
    <w:p>
      <w:pPr>
        <w:spacing w:after="20"/>
      </w:pPr>
    </w:p>
    <w:p>
      <w:pPr>
        <w:pStyle w:val="Heading2"/>
      </w:pPr>
      <w:r>
        <w:t>Hallazgo y contexto</w:t>
      </w:r>
    </w:p>
    <w:p>
      <w:r>
        <w:t>Sonar señala una incompatibilidad entre semántica e interactividad. El fragmento muestra td con role="cell"; la incidencia impacta Reliability Medium y Maintainability Low.</w:t>
      </w:r>
    </w:p>
    <w:p>
      <w:r>
        <w:t>La mejora requiere revisar el DOM y los handlers completos para no degradar accesibilidad, selección de filas ni navegación con teclado.</w:t>
      </w:r>
    </w:p>
    <w:p>
      <w:pPr>
        <w:pStyle w:val="Heading2"/>
      </w:pPr>
      <w:r>
        <w:t>Acción propuesta</w:t>
      </w:r>
    </w:p>
    <w:p>
      <w:r>
        <w:t>Propuesta V2: emplear semántica nativa/roles compatibles y verificar interacción de teclado. No silenciar la regla ni eliminar roles sin evaluar el contexto.</w:t>
      </w:r>
    </w:p>
    <w:p>
      <w:r>
        <w:t>La propuesta pertenece a V2. La imagen siguiente conserva el estado anterior a cualquier mejora.</w:t>
      </w:r>
    </w:p>
    <w:p>
      <w:pPr>
        <w:sectPr>
          <w:pgSz w:w="12240" w:h="15840"/>
          <w:pgMar w:top="936" w:right="1080" w:bottom="936" w:left="1080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10.3 typescript:S6843  Detalle V1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27" name="Picture 27" descr="Issues / detalle typescript:S6843. L149, Open, Reliability Medium y Maintainability Low; td con role=&quot;cell&quot; visible; 5 mi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28_CodeSmell_TS_S684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27. 10.3 typescript:S6843  Detalle V1</w:t>
        <w:br/>
        <w:t>V1_28_CodeSmell_TS_S6843.png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L149, Open, Reliability Medium y Maintainability Low; td con role="cell" visible; 5 min.</w:t>
      </w:r>
    </w:p>
    <w:p>
      <w:pPr>
        <w:spacing w:after="60" w:line="240" w:lineRule="auto"/>
      </w:pPr>
      <w:r>
        <w:rPr>
          <w:sz w:val="20"/>
        </w:rPr>
        <w:t>El rol señalado aparece en una celda de tabla. La mejora debe conservar estructura nativa, eventos y navegación con teclado.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2"/>
      </w:pPr>
      <w:r>
        <w:t>10.4 typescript:S8786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Valor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Archivo y línea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resources/js/components/experience-3d/experience-3d.test.tsx:162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Tipo tradicional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Code Smell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Estado V1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OPEN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Prioridad propuesta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BAJA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Severidad tradicional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MAJOR; ver impacto MQR en captura</w:t>
            </w:r>
          </w:p>
        </w:tc>
      </w:tr>
    </w:tbl>
    <w:p>
      <w:pPr>
        <w:spacing w:after="20"/>
      </w:pPr>
    </w:p>
    <w:p>
      <w:pPr>
        <w:pStyle w:val="Heading2"/>
      </w:pPr>
      <w:r>
        <w:t>Hallazgo y contexto</w:t>
      </w:r>
    </w:p>
    <w:p>
      <w:r>
        <w:t>La expresión regular elimina etiquetas del markup generado mediante renderToStaticMarkup. Sonar advierte posible coste superlineal por backtracking.</w:t>
      </w:r>
    </w:p>
    <w:p>
      <w:r>
        <w:t>El código está en una prueba y la entrada visible se genera internamente. La captura no acredita una entrada hostil en producción.</w:t>
      </w:r>
    </w:p>
    <w:p>
      <w:pPr>
        <w:pStyle w:val="Heading2"/>
      </w:pPr>
      <w:r>
        <w:t>Acción propuesta</w:t>
      </w:r>
    </w:p>
    <w:p>
      <w:r>
        <w:t>Propuesta V2: reemplazar la extracción por una aserción o método de string apropiado y conservar la intención del test. No complicar producción para corregir una prueba.</w:t>
      </w:r>
    </w:p>
    <w:p>
      <w:r>
        <w:t>La propuesta pertenece a V2. La imagen siguiente conserva el estado anterior a cualquier mejora.</w:t>
      </w:r>
    </w:p>
    <w:p>
      <w:pPr>
        <w:sectPr>
          <w:pgSz w:w="12240" w:h="15840"/>
          <w:pgMar w:top="936" w:right="1080" w:bottom="936" w:left="1080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10.4 typescript:S8786  Detalle V1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28" name="Picture 28" descr="Issues / detalle typescript:S8786. L162, Open, Reliability Medium, 20 min; regex aplicada a markup de renderToStaticMarkup en t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29_CodeSmell_TS_S878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28. 10.4 typescript:S8786  Detalle V1</w:t>
        <w:br/>
        <w:t>V1_29_CodeSmell_TS_S8786.png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L162, Open, Reliability Medium, 20 min; regex aplicada a markup de renderToStaticMarkup en test.</w:t>
      </w:r>
    </w:p>
    <w:p>
      <w:pPr>
        <w:spacing w:after="60" w:line="240" w:lineRule="auto"/>
      </w:pPr>
      <w:r>
        <w:rPr>
          <w:sz w:val="20"/>
        </w:rPr>
        <w:t>La expresión actúa sobre markup generado en un test. Debe corregirse el coste potencial sin complicar el código de producción.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2"/>
      </w:pPr>
      <w:r>
        <w:t>10.5 typescript:S6671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Valor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Archivo y línea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resources/js/components/vacancies/operational-risk-card.tsx:56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Tipo tradicional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Code Smell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Estado V1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OPEN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Prioridad propuesta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MEDIA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Severidad tradicional</w:t>
            </w:r>
          </w:p>
        </w:tc>
        <w:tc>
          <w:tcPr>
            <w:tcW w:type="dxa" w:w="72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MAJOR; ver impacto MQR en captura</w:t>
            </w:r>
          </w:p>
        </w:tc>
      </w:tr>
    </w:tbl>
    <w:p>
      <w:pPr>
        <w:spacing w:after="20"/>
      </w:pPr>
    </w:p>
    <w:p>
      <w:pPr>
        <w:pStyle w:val="Heading2"/>
      </w:pPr>
      <w:r>
        <w:t>Hallazgo y contexto</w:t>
      </w:r>
    </w:p>
    <w:p>
      <w:r>
        <w:t>El fragmento rechaza una Promise con response.status, un valor numérico, cuando la respuesta HTTP no es satisfactoria.</w:t>
      </w:r>
    </w:p>
    <w:p>
      <w:r>
        <w:t>Un rechazo uniforme con Error mejora diagnóstico y manejo asíncrono. Debe preservarse el flujo de degradación del indicador de riesgo operacional.</w:t>
      </w:r>
    </w:p>
    <w:p>
      <w:pPr>
        <w:pStyle w:val="Heading2"/>
      </w:pPr>
      <w:r>
        <w:t>Acción propuesta</w:t>
      </w:r>
    </w:p>
    <w:p>
      <w:r>
        <w:t>Propuesta V2: usar Error o subtipo adecuado conservando el status necesario y comprobar la ruta de error. El servicio sigue siendo informativo y no decide sobre personas.</w:t>
      </w:r>
    </w:p>
    <w:p>
      <w:r>
        <w:t>La propuesta pertenece a V2. La imagen siguiente conserva el estado anterior a cualquier mejora.</w:t>
      </w:r>
    </w:p>
    <w:p>
      <w:pPr>
        <w:sectPr>
          <w:pgSz w:w="12240" w:h="15840"/>
          <w:pgMar w:top="936" w:right="1080" w:bottom="936" w:left="1080" w:header="288" w:footer="317" w:gutter="0"/>
          <w:cols w:space="720"/>
          <w:docGrid w:linePitch="360"/>
        </w:sectPr>
      </w:pPr>
    </w:p>
    <w:p>
      <w:pPr>
        <w:pStyle w:val="Heading2"/>
        <w:spacing w:after="60"/>
      </w:pPr>
      <w:r>
        <w:t>10.5 typescript:S6671  Detalle V1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29" name="Picture 29" descr="Issues / detalle typescript:S6671. L56, Open, Reliability Medium, 5 min; Promise.reject(response.status) vis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30_CodeSmell_TS_S667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29. 10.5 typescript:S6671  Detalle V1</w:t>
        <w:br/>
        <w:t>V1_30_CodeSmell_TS_S6671.png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L56, Open, Reliability Medium, 5 min; Promise.reject(response.status) visible.</w:t>
      </w:r>
    </w:p>
    <w:p>
      <w:pPr>
        <w:spacing w:after="60" w:line="240" w:lineRule="auto"/>
      </w:pPr>
      <w:r>
        <w:rPr>
          <w:sz w:val="20"/>
        </w:rPr>
        <w:t>El rechazo transmite un status numérico. Un Error adecuado debe conservar el diagnóstico y el flujo de degradación del componente.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1"/>
      </w:pPr>
      <w:r>
        <w:t>11 SECURITY HOTSPOTS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5352039"/>
            <wp:docPr id="30" name="Picture 30" descr="Measures / Security Review Rating. Security Hotspots 0, Security Review Rating A; sección marcada Depreca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23_Security_Hotspots_Review_Rating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/>
      </w:pPr>
      <w:r>
        <w:t>Figura 30. Security Hotspots y Security Review Rating</w:t>
        <w:br/>
        <w:t>V1_23_Security_Hotspots_Review_Rating.png</w:t>
      </w:r>
    </w:p>
    <w:p>
      <w:pPr>
        <w:keepNext/>
        <w:spacing w:after="20"/>
      </w:pPr>
      <w:r>
        <w:rPr>
          <w:b/>
          <w:sz w:val="20"/>
        </w:rPr>
        <w:t>Interpretación</w:t>
      </w:r>
    </w:p>
    <w:p>
      <w:pPr>
        <w:spacing w:after="60" w:line="240" w:lineRule="auto"/>
      </w:pPr>
      <w:r>
        <w:rPr>
          <w:sz w:val="20"/>
        </w:rPr>
        <w:t>Security Hotspots 0, Security Review Rating A; sección marcada Deprecated.</w:t>
      </w:r>
    </w:p>
    <w:p>
      <w:pPr>
        <w:spacing w:after="60" w:line="240" w:lineRule="auto"/>
      </w:pPr>
      <w:r>
        <w:rPr>
          <w:sz w:val="20"/>
        </w:rPr>
        <w:t>Cero hotspots no equivale a ausencia de vulnerabilidades. La UI marca esta sección como Deprecated y no muestra porcentaje revisado.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1"/>
      </w:pPr>
      <w:r>
        <w:t>11 SECURITY HOTSPOTS</w:t>
      </w:r>
    </w:p>
    <w:p>
      <w:r>
        <w:t>El total documentado es cero hotspots, cero pendientes y cero revisados. La métrica porcentual de revisión no fue devuelta: no se presenta como 100 %.</w:t>
      </w:r>
    </w:p>
    <w:p>
      <w:r>
        <w:t>Security Hotspot no equivale a Vulnerability. El cero de hotspots coexiste con dos vulnerabilidades reportadas y no elimina la necesidad de revisar php:S5693 y typescript:S2245.</w:t>
      </w:r>
    </w:p>
    <w:p>
      <w:pPr>
        <w:pStyle w:val="Heading1"/>
      </w:pPr>
      <w:r>
        <w:t>12 OTRAS HERRAMIENTAS DE CALIDAD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Herramienta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Resultado V1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PHPUnit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411 passed, 8 skipped, 0 failed, 1498 assertions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PHPStan / Larastan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FAILED: 91 errores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Pint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FAILED: 8 problemas en 256 archivos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TypeScript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PASSED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Vite Plus / Oxfmt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FAILED: 297 archivos con formato pendiente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Oxlint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5 warnings, 0 errors; FAILED por denyWarnings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Vitest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42/42 PASSED, 6 archivos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Cypress</w:t>
            </w:r>
          </w:p>
        </w:tc>
        <w:tc>
          <w:tcPr>
            <w:tcW w:type="dxa" w:w="70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NO EJECUTADO en la sesión del análisis V1</w:t>
            </w:r>
          </w:p>
        </w:tc>
      </w:tr>
    </w:tbl>
    <w:p>
      <w:pPr>
        <w:spacing w:after="20"/>
      </w:pPr>
    </w:p>
    <w:p>
      <w:r>
        <w:t>Son resultados de la ejecución V1 del 20/10/2026. Complementan SonarQube y no se suman a sus cinco Issues. Los 297 archivos son el conteo previo documentado, no una medición tras crear este Word.</w:t>
      </w:r>
    </w:p>
    <w:p>
      <w:pPr>
        <w:sectPr>
          <w:pgSz w:w="12240" w:h="15840"/>
          <w:pgMar w:top="936" w:right="1080" w:bottom="936" w:left="1080" w:header="288" w:footer="317" w:gutter="0"/>
          <w:cols w:space="720"/>
          <w:docGrid w:linePitch="360"/>
        </w:sectPr>
      </w:pPr>
    </w:p>
    <w:p>
      <w:pPr>
        <w:pStyle w:val="Heading1"/>
      </w:pPr>
      <w:r>
        <w:t>13 PROBLEMAS PRIORIZADOS PARA V2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83"/>
        <w:gridCol w:w="1853"/>
        <w:gridCol w:w="3992"/>
        <w:gridCol w:w="1711"/>
        <w:gridCol w:w="1711"/>
        <w:gridCol w:w="3707"/>
      </w:tblGrid>
      <w:tr>
        <w:trPr>
          <w:cantSplit/>
          <w:tblHeader/>
        </w:trPr>
        <w:tc>
          <w:tcPr>
            <w:tcW w:type="dxa" w:w="12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18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0"/>
              </w:rPr>
              <w:t>Regla</w:t>
            </w:r>
          </w:p>
        </w:tc>
        <w:tc>
          <w:tcPr>
            <w:tcW w:type="dxa" w:w="3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17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37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0"/>
              </w:rPr>
              <w:t>Acción propuesta</w:t>
            </w:r>
          </w:p>
        </w:tc>
      </w:tr>
      <w:tr>
        <w:trPr>
          <w:cantSplit/>
        </w:trPr>
        <w:tc>
          <w:tcPr>
            <w:tcW w:type="dxa" w:w="12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ALTA</w:t>
            </w:r>
          </w:p>
        </w:tc>
        <w:tc>
          <w:tcPr>
            <w:tcW w:type="dxa" w:w="18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php:S5693</w:t>
            </w:r>
          </w:p>
        </w:tc>
        <w:tc>
          <w:tcPr>
            <w:tcW w:type="dxa" w:w="3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app/Http/Requests/Candidates/CandidateCvRequest.php</w:t>
            </w:r>
          </w:p>
        </w:tc>
        <w:tc>
          <w:tcPr>
            <w:tcW w:type="dxa" w:w="17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Vulnerability</w:t>
            </w:r>
          </w:p>
        </w:tc>
        <w:tc>
          <w:tcPr>
            <w:tcW w:type="dxa" w:w="17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Límite de carga</w:t>
            </w:r>
          </w:p>
        </w:tc>
        <w:tc>
          <w:tcPr>
            <w:tcW w:type="dxa" w:w="37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Verificar límite efectivo y coherencia del servidor; preservar validación.</w:t>
            </w:r>
          </w:p>
        </w:tc>
      </w:tr>
      <w:tr>
        <w:trPr>
          <w:cantSplit/>
        </w:trPr>
        <w:tc>
          <w:tcPr>
            <w:tcW w:type="dxa" w:w="12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MEDIA</w:t>
            </w:r>
          </w:p>
        </w:tc>
        <w:tc>
          <w:tcPr>
            <w:tcW w:type="dxa" w:w="18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typescript:S2245</w:t>
            </w:r>
          </w:p>
        </w:tc>
        <w:tc>
          <w:tcPr>
            <w:tcW w:type="dxa" w:w="3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resources/js/components/ui/sidebar.tsx</w:t>
            </w:r>
          </w:p>
        </w:tc>
        <w:tc>
          <w:tcPr>
            <w:tcW w:type="dxa" w:w="17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Vulnerability</w:t>
            </w:r>
          </w:p>
        </w:tc>
        <w:tc>
          <w:tcPr>
            <w:tcW w:type="dxa" w:w="17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Pseudoaleatoriedad</w:t>
            </w:r>
          </w:p>
        </w:tc>
        <w:tc>
          <w:tcPr>
            <w:tcW w:type="dxa" w:w="37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Revisar contexto; alternativa determinista si es visual.</w:t>
            </w:r>
          </w:p>
        </w:tc>
      </w:tr>
      <w:tr>
        <w:trPr>
          <w:cantSplit/>
        </w:trPr>
        <w:tc>
          <w:tcPr>
            <w:tcW w:type="dxa" w:w="12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MEDIA</w:t>
            </w:r>
          </w:p>
        </w:tc>
        <w:tc>
          <w:tcPr>
            <w:tcW w:type="dxa" w:w="18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typescript:S6843</w:t>
            </w:r>
          </w:p>
        </w:tc>
        <w:tc>
          <w:tcPr>
            <w:tcW w:type="dxa" w:w="3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resources/js/components/data-table.tsx</w:t>
            </w:r>
          </w:p>
        </w:tc>
        <w:tc>
          <w:tcPr>
            <w:tcW w:type="dxa" w:w="17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Code Smell</w:t>
            </w:r>
          </w:p>
        </w:tc>
        <w:tc>
          <w:tcPr>
            <w:tcW w:type="dxa" w:w="17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Semántica/roles</w:t>
            </w:r>
          </w:p>
        </w:tc>
        <w:tc>
          <w:tcPr>
            <w:tcW w:type="dxa" w:w="37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Conservar DOM nativo, interacción y teclado.</w:t>
            </w:r>
          </w:p>
        </w:tc>
      </w:tr>
      <w:tr>
        <w:trPr>
          <w:cantSplit/>
        </w:trPr>
        <w:tc>
          <w:tcPr>
            <w:tcW w:type="dxa" w:w="12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BAJA</w:t>
            </w:r>
          </w:p>
        </w:tc>
        <w:tc>
          <w:tcPr>
            <w:tcW w:type="dxa" w:w="18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typescript:S8786</w:t>
            </w:r>
          </w:p>
        </w:tc>
        <w:tc>
          <w:tcPr>
            <w:tcW w:type="dxa" w:w="3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resources/js/components/experience-3d/experience-3d.test.tsx</w:t>
            </w:r>
          </w:p>
        </w:tc>
        <w:tc>
          <w:tcPr>
            <w:tcW w:type="dxa" w:w="17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Code Smell</w:t>
            </w:r>
          </w:p>
        </w:tc>
        <w:tc>
          <w:tcPr>
            <w:tcW w:type="dxa" w:w="17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Regex en test</w:t>
            </w:r>
          </w:p>
        </w:tc>
        <w:tc>
          <w:tcPr>
            <w:tcW w:type="dxa" w:w="37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Extracción o aserción sin backtracking superlineal.</w:t>
            </w:r>
          </w:p>
        </w:tc>
      </w:tr>
      <w:tr>
        <w:trPr>
          <w:cantSplit/>
        </w:trPr>
        <w:tc>
          <w:tcPr>
            <w:tcW w:type="dxa" w:w="12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MEDIA</w:t>
            </w:r>
          </w:p>
        </w:tc>
        <w:tc>
          <w:tcPr>
            <w:tcW w:type="dxa" w:w="18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typescript:S6671</w:t>
            </w:r>
          </w:p>
        </w:tc>
        <w:tc>
          <w:tcPr>
            <w:tcW w:type="dxa" w:w="3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resources/js/components/vacancies/operational-risk-card.tsx</w:t>
            </w:r>
          </w:p>
        </w:tc>
        <w:tc>
          <w:tcPr>
            <w:tcW w:type="dxa" w:w="17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Code Smell</w:t>
            </w:r>
          </w:p>
        </w:tc>
        <w:tc>
          <w:tcPr>
            <w:tcW w:type="dxa" w:w="17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Rechazo no Error</w:t>
            </w:r>
          </w:p>
        </w:tc>
        <w:tc>
          <w:tcPr>
            <w:tcW w:type="dxa" w:w="37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0"/>
              </w:rPr>
              <w:t>Error adecuado y prueba de degradación.</w:t>
            </w:r>
          </w:p>
        </w:tc>
      </w:tr>
    </w:tbl>
    <w:p>
      <w:pPr>
        <w:spacing w:after="20"/>
      </w:pPr>
    </w:p>
    <w:p>
      <w:r>
        <w:t>Las prioridades se basan en contexto y riesgo potencial, no solo en la etiqueta del analizador. Los dos hallazgos de seguridad se revisarán primero; S2245 es MEDIA por el contexto visual aparente y S8786 BAJA por ocurrir en un test. Se reevaluarán si la revisión de código aporta evidencia de mayor impacto.</w:t>
      </w:r>
    </w:p>
    <w:p>
      <w:pPr>
        <w:sectPr>
          <w:pgSz w:w="15840" w:h="12240" w:orient="landscape"/>
          <w:pgMar w:top="720" w:right="792" w:bottom="720" w:left="792" w:header="288" w:footer="317" w:gutter="0"/>
          <w:cols w:space="720"/>
          <w:docGrid w:linePitch="360"/>
        </w:sectPr>
      </w:pPr>
    </w:p>
    <w:p>
      <w:pPr>
        <w:pStyle w:val="Heading1"/>
      </w:pPr>
      <w:r>
        <w:t>14 TABLA ANTES VS DESPUÉS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730"/>
        <w:gridCol w:w="2318"/>
        <w:gridCol w:w="2016"/>
        <w:gridCol w:w="2016"/>
      </w:tblGrid>
      <w:tr>
        <w:trPr>
          <w:cantSplit/>
          <w:tblHeader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Métrica</w:t>
            </w:r>
          </w:p>
        </w:tc>
        <w:tc>
          <w:tcPr>
            <w:tcW w:type="dxa" w:w="23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V1 Antes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V2 Después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b/>
                <w:color w:val="FFFFFF"/>
                <w:sz w:val="21"/>
              </w:rPr>
              <w:t>Variación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Quality Gate</w:t>
            </w:r>
          </w:p>
        </w:tc>
        <w:tc>
          <w:tcPr>
            <w:tcW w:type="dxa" w:w="23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OK; conditions: []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Security tradicional</w:t>
            </w:r>
          </w:p>
        </w:tc>
        <w:tc>
          <w:tcPr>
            <w:tcW w:type="dxa" w:w="23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C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Reliability tradicional</w:t>
            </w:r>
          </w:p>
        </w:tc>
        <w:tc>
          <w:tcPr>
            <w:tcW w:type="dxa" w:w="23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A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Maintainability tradicional</w:t>
            </w:r>
          </w:p>
        </w:tc>
        <w:tc>
          <w:tcPr>
            <w:tcW w:type="dxa" w:w="23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A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Security MQR</w:t>
            </w:r>
          </w:p>
        </w:tc>
        <w:tc>
          <w:tcPr>
            <w:tcW w:type="dxa" w:w="23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2 / C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Reliability MQR</w:t>
            </w:r>
          </w:p>
        </w:tc>
        <w:tc>
          <w:tcPr>
            <w:tcW w:type="dxa" w:w="23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3 / C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Maintainability MQR</w:t>
            </w:r>
          </w:p>
        </w:tc>
        <w:tc>
          <w:tcPr>
            <w:tcW w:type="dxa" w:w="23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1 / A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Coverage global</w:t>
            </w:r>
          </w:p>
        </w:tc>
        <w:tc>
          <w:tcPr>
            <w:tcW w:type="dxa" w:w="23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66.5 %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Coverage app/</w:t>
            </w:r>
          </w:p>
        </w:tc>
        <w:tc>
          <w:tcPr>
            <w:tcW w:type="dxa" w:w="23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89.6 %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Coverage resources/js</w:t>
            </w:r>
          </w:p>
        </w:tc>
        <w:tc>
          <w:tcPr>
            <w:tcW w:type="dxa" w:w="23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0.0 %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Coverage routes</w:t>
            </w:r>
          </w:p>
        </w:tc>
        <w:tc>
          <w:tcPr>
            <w:tcW w:type="dxa" w:w="23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0.0 %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Duplicación</w:t>
            </w:r>
          </w:p>
        </w:tc>
        <w:tc>
          <w:tcPr>
            <w:tcW w:type="dxa" w:w="23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0.0 %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Issues abiertos</w:t>
            </w:r>
          </w:p>
        </w:tc>
        <w:tc>
          <w:tcPr>
            <w:tcW w:type="dxa" w:w="23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Vulnerabilities</w:t>
            </w:r>
          </w:p>
        </w:tc>
        <w:tc>
          <w:tcPr>
            <w:tcW w:type="dxa" w:w="23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Code Smells</w:t>
            </w:r>
          </w:p>
        </w:tc>
        <w:tc>
          <w:tcPr>
            <w:tcW w:type="dxa" w:w="23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Bugs</w:t>
            </w:r>
          </w:p>
        </w:tc>
        <w:tc>
          <w:tcPr>
            <w:tcW w:type="dxa" w:w="23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Security Hotspots</w:t>
            </w:r>
          </w:p>
        </w:tc>
        <w:tc>
          <w:tcPr>
            <w:tcW w:type="dxa" w:w="23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Cyclomatic Complexity</w:t>
            </w:r>
          </w:p>
        </w:tc>
        <w:tc>
          <w:tcPr>
            <w:tcW w:type="dxa" w:w="23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2047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Cognitive Complexity</w:t>
            </w:r>
          </w:p>
        </w:tc>
        <w:tc>
          <w:tcPr>
            <w:tcW w:type="dxa" w:w="23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687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</w:tr>
      <w:tr>
        <w:trPr>
          <w:cantSplit/>
        </w:trPr>
        <w:tc>
          <w:tcPr>
            <w:tcW w:type="dxa" w:w="37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Technical Debt tradicional</w:t>
            </w:r>
          </w:p>
        </w:tc>
        <w:tc>
          <w:tcPr>
            <w:tcW w:type="dxa" w:w="23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30 min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5F8"/>
          </w:tcPr>
          <w:p>
            <w:pPr>
              <w:spacing w:before="0" w:after="40" w:line="252" w:lineRule="auto"/>
            </w:pPr>
            <w:r>
              <w:rPr>
                <w:b w:val="0"/>
                <w:color w:val="000000"/>
                <w:sz w:val="21"/>
              </w:rPr>
              <w:t>PENDIENTE</w:t>
            </w:r>
          </w:p>
        </w:tc>
      </w:tr>
    </w:tbl>
    <w:p>
      <w:pPr>
        <w:spacing w:after="20"/>
      </w:pPr>
    </w:p>
    <w:p>
      <w:r>
        <w:t>V2 se completará solo tras la ejecución y verificación del análisis siguiente en el mismo proyecto. No se anticipan mejoras. Los porcentajes se compararán en puntos porcentuales y con denominadores explícitos.</w:t>
      </w:r>
    </w:p>
    <w:p>
      <w:pPr>
        <w:sectPr>
          <w:pgSz w:w="12240" w:h="15840"/>
          <w:pgMar w:top="936" w:right="1080" w:bottom="936" w:left="1080" w:header="288" w:footer="317" w:gutter="0"/>
          <w:cols w:space="720"/>
          <w:docGrid w:linePitch="360"/>
        </w:sectPr>
      </w:pPr>
    </w:p>
    <w:p>
      <w:pPr>
        <w:pStyle w:val="Heading1"/>
      </w:pPr>
      <w:r>
        <w:t>15 CONCLUSIONES V1</w:t>
      </w:r>
    </w:p>
    <w:p>
      <w:r>
        <w:t>La línea base dispone de treinta capturas y evidencia de un análisis real procesado. PHPUnit y Vitest aprobaron las pruebas ejecutadas, TypeScript pasó y la duplicación del código analizado fue 0.0 %. La cobertura de app/ alcanzó 89.6 %.</w:t>
      </w:r>
    </w:p>
    <w:p>
      <w:r>
        <w:t>Persisten cinco Issues Sonar: dos vulnerabilidades reportadas y tres Code Smells. Security tradicional tiene rating C; los hallazgos requieren revisión contextual y no deben presentarse como explotación confirmada.</w:t>
      </w:r>
    </w:p>
    <w:p>
      <w:r>
        <w:t>La cobertura global es 66.5 % porque el análisis incluye frontend y rutas sin reporte propio. La ausencia de esa evidencia no se remedia mediante exclusiones artificiales. La generación de cobertura frontend real puede plantearse en una fase posterior.</w:t>
      </w:r>
    </w:p>
    <w:p>
      <w:r>
        <w:t>Maintainability tradicional es A, con deuda estimada de treinta minutos; ese rating convive con 91 errores PHPStan, ocho problemas Pint y deuda de formato. Las herramientas tienen alcances diferentes y deben explicarse juntas.</w:t>
      </w:r>
    </w:p>
    <w:p>
      <w:r>
        <w:t>V2 deberá aplicar mejoras pequeñas, probarlas y volver a analizar el mismo Project Key, preservando íntegros estos resultados V1. El Quality Gate OK inicial y sus condiciones vacías no certifican calidad absoluta ni preparación para producción.</w:t>
      </w:r>
    </w:p>
    <w:p>
      <w:r>
        <w:t>El entorno usa SonarQube Community con H2 embebido, exclusivamente para evaluación académica/local. El sistema conserva decisión humana y aislamiento multiempresa.</w:t>
      </w:r>
    </w:p>
    <w:p>
      <w:pPr>
        <w:pStyle w:val="Heading2"/>
      </w:pPr>
      <w:r>
        <w:t>Fuentes y preservación</w:t>
      </w:r>
    </w:p>
    <w:p>
      <w:pPr>
        <w:spacing w:after="80"/>
      </w:pPr>
      <w:r>
        <w:rPr>
          <w:sz w:val="20"/>
        </w:rPr>
        <w:t>docs/sonarqube/evidencias/v1/REPORTE_EVIDENCIAS_V1_SONARQUBE.md</w:t>
      </w:r>
    </w:p>
    <w:p>
      <w:pPr>
        <w:spacing w:after="80"/>
      </w:pPr>
      <w:r>
        <w:rPr>
          <w:sz w:val="20"/>
        </w:rPr>
        <w:t>docs/sonarqube/RESULTADOS_SONARQUBE_MAC.md</w:t>
      </w:r>
    </w:p>
    <w:p>
      <w:pPr>
        <w:spacing w:after="80"/>
      </w:pPr>
      <w:r>
        <w:rPr>
          <w:sz w:val="20"/>
        </w:rPr>
        <w:t>docs/sonarqube/README.md</w:t>
      </w:r>
    </w:p>
    <w:p>
      <w:pPr>
        <w:spacing w:after="80"/>
      </w:pPr>
      <w:r>
        <w:rPr>
          <w:sz w:val="20"/>
        </w:rPr>
        <w:t>docs/sonarqube/GUIA_PRESENTACION_SONARQUBE_MAC.md</w:t>
      </w:r>
    </w:p>
    <w:p>
      <w:pPr>
        <w:spacing w:after="80"/>
      </w:pPr>
      <w:r>
        <w:rPr>
          <w:sz w:val="20"/>
        </w:rPr>
        <w:t>Se incorporan las treinta capturas originales como imágenes embebidas, sin modificar sus bytes ni proporción. Tres son redundantes y se conservan como respaldo: 07 frente a 09 y 12–13 frente a 05. No hay duplicados idénticos por SHA-256.</w:t>
      </w:r>
    </w:p>
    <w:sectPr w:rsidR="00FC693F" w:rsidRPr="0006063C" w:rsidSect="00034616">
      <w:pgSz w:w="12240" w:h="15840"/>
      <w:pgMar w:top="936" w:right="1080" w:bottom="936" w:left="1080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Línea base V1  |  Página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000000"/>
      <w:sz w:val="22"/>
      <w:lang w:val="es-P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  <w:lang w:val="es-P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  <w:lang w:val="es-P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  <w:lang w:val="es-P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32"/>
      <w:szCs w:val="24"/>
      <w:lang w:val="es-P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Arial" w:hAnsi="Arial"/>
      <w:b/>
      <w:bCs/>
      <w:i w:val="0"/>
      <w:color w:val="000000"/>
      <w:sz w:val="20"/>
      <w:szCs w:val="18"/>
      <w:lang w:val="es-P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calidad con SonarQube</dc:title>
  <dc:subject>Evidencias V1 antes de las mejoras</dc:subject>
  <dc:creator>Equipo del proyecto SaaS Reclutamiento Multiempresa</dc:creator>
  <cp:keywords>SonarQube, línea base V1, calidad, cobertura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