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line="252" w:lineRule="auto"/>
        <w:jc w:val="center"/>
      </w:pPr>
      <w:r>
        <w:rPr>
          <w:b/>
          <w:bCs/>
          <w:sz w:val="30"/>
          <w:szCs w:val="30"/>
        </w:rPr>
        <w:t xml:space="preserve">Variables y matriz de operacionalización del proyecto (F29C)</w:t>
      </w:r>
    </w:p>
    <w:p>
      <w:pPr>
        <w:spacing w:after="160" w:line="252" w:lineRule="auto"/>
        <w:jc w:val="center"/>
      </w:pPr>
      <w:r>
        <w:rPr>
          <w:i/>
          <w:iCs/>
          <w:sz w:val="20"/>
          <w:szCs w:val="20"/>
        </w:rPr>
        <w:t xml:space="preserve">Anexos del proyecto según la guía de laboratorio E1/L1 «Desarrollo de Software con Inteligencia Artificial»</w:t>
      </w:r>
    </w:p>
    <w:tbl>
      <w:tblPr>
        <w:tblStyle w:val="Tablaconcuadrcula"/>
        <w:tblW w:w="13436" w:type="dxa"/>
        <w:tblLayout w:type="fixed"/>
        <w:tblLook w:val="04A0" w:firstRow="1" w:lastRow="0" w:firstColumn="1" w:lastColumn="0" w:noHBand="0" w:noVBand="1"/>
      </w:tblPr>
      <w:tblGrid>
        <w:gridCol w:w="2955"/>
        <w:gridCol w:w="10481"/>
      </w:tblGrid>
      <w:tr>
        <w:trPr>
          <w:tblHeader/>
          <w:cantSplit/>
        </w:trPr>
        <w:tc>
          <w:tcPr>
            <w:tcW w:w="2955" w:type="dxa"/>
            <w:shd w:val="clear" w:color="auto" w:fill="D9E2F3"/>
          </w:tcPr>
          <w:p>
            <w:pPr>
              <w:spacing w:after="20" w:line="240" w:lineRule="auto"/>
              <w:jc w:val="left"/>
            </w:pPr>
            <w:r>
              <w:rPr>
                <w:b/>
                <w:bCs/>
                <w:sz w:val="16"/>
                <w:szCs w:val="16"/>
              </w:rPr>
              <w:t xml:space="preserve">Campo</w:t>
            </w:r>
          </w:p>
        </w:tc>
        <w:tc>
          <w:tcPr>
            <w:tcW w:w="10481" w:type="dxa"/>
            <w:shd w:val="clear" w:color="auto" w:fill="D9E2F3"/>
          </w:tcPr>
          <w:p>
            <w:pPr>
              <w:spacing w:after="20" w:line="240" w:lineRule="auto"/>
              <w:jc w:val="left"/>
            </w:pPr>
            <w:r>
              <w:rPr>
                <w:b/>
                <w:bCs/>
                <w:sz w:val="16"/>
                <w:szCs w:val="16"/>
              </w:rPr>
              <w:t xml:space="preserve">Valor</w:t>
            </w:r>
          </w:p>
        </w:tc>
      </w:tr>
      <w:tr>
        <w:trPr>
          <w:cantSplit/>
        </w:trPr>
        <w:tc>
          <w:tcPr>
            <w:tcW w:w="2955" w:type="dxa"/>
          </w:tcPr>
          <w:p>
            <w:pPr>
              <w:spacing w:after="20" w:line="240" w:lineRule="auto"/>
              <w:jc w:val="left"/>
            </w:pPr>
            <w:r>
              <w:rPr>
                <w:sz w:val="16"/>
                <w:szCs w:val="16"/>
              </w:rPr>
              <w:t xml:space="preserve">Nombre del proyecto</w:t>
            </w:r>
          </w:p>
        </w:tc>
        <w:tc>
          <w:tcPr>
            <w:tcW w:w="10481" w:type="dxa"/>
          </w:tcPr>
          <w:p>
            <w:pPr>
              <w:spacing w:after="20" w:line="240" w:lineRule="auto"/>
              <w:jc w:val="left"/>
            </w:pPr>
            <w:r>
              <w:rPr>
                <w:sz w:val="16"/>
                <w:szCs w:val="16"/>
              </w:rPr>
              <w:t xml:space="preserve">Análisis y Diseño de una Plataforma SaaS Multiempresa para la Gestión del Reclutamiento, Evaluación y Selección de Personal – Caso de estudio: Colegio Andino de Huancayo</w:t>
            </w:r>
          </w:p>
        </w:tc>
      </w:tr>
      <w:tr>
        <w:trPr>
          <w:cantSplit/>
        </w:trPr>
        <w:tc>
          <w:tcPr>
            <w:tcW w:w="2955" w:type="dxa"/>
          </w:tcPr>
          <w:p>
            <w:pPr>
              <w:spacing w:after="20" w:line="240" w:lineRule="auto"/>
              <w:jc w:val="left"/>
            </w:pPr>
            <w:r>
              <w:rPr>
                <w:sz w:val="16"/>
                <w:szCs w:val="16"/>
              </w:rPr>
              <w:t xml:space="preserve">Integrantes del equipo</w:t>
            </w:r>
          </w:p>
        </w:tc>
        <w:tc>
          <w:tcPr>
            <w:tcW w:w="10481" w:type="dxa"/>
          </w:tcPr>
          <w:p>
            <w:pPr>
              <w:spacing w:after="20" w:line="240" w:lineRule="auto"/>
              <w:jc w:val="left"/>
            </w:pPr>
            <w:r>
              <w:rPr>
                <w:sz w:val="16"/>
                <w:szCs w:val="16"/>
              </w:rPr>
              <w:t xml:space="preserve">Coronacion Meza Fredy; Peña Arroyo Anthony; Vila Meza Luis Antonio</w:t>
            </w:r>
          </w:p>
        </w:tc>
      </w:tr>
      <w:tr>
        <w:trPr>
          <w:cantSplit/>
        </w:trPr>
        <w:tc>
          <w:tcPr>
            <w:tcW w:w="2955" w:type="dxa"/>
          </w:tcPr>
          <w:p>
            <w:pPr>
              <w:spacing w:after="20" w:line="240" w:lineRule="auto"/>
              <w:jc w:val="left"/>
            </w:pPr>
            <w:r>
              <w:rPr>
                <w:sz w:val="16"/>
                <w:szCs w:val="16"/>
              </w:rPr>
              <w:t xml:space="preserve">Asignatura</w:t>
            </w:r>
          </w:p>
        </w:tc>
        <w:tc>
          <w:tcPr>
            <w:tcW w:w="10481" w:type="dxa"/>
          </w:tcPr>
          <w:p>
            <w:pPr>
              <w:spacing w:after="20" w:line="240" w:lineRule="auto"/>
              <w:jc w:val="left"/>
            </w:pPr>
            <w:r>
              <w:rPr>
                <w:sz w:val="16"/>
                <w:szCs w:val="16"/>
              </w:rPr>
              <w:t xml:space="preserve">Pruebas y Calidad de Software (NRC 28607)</w:t>
            </w:r>
          </w:p>
        </w:tc>
      </w:tr>
      <w:tr>
        <w:trPr>
          <w:cantSplit/>
        </w:trPr>
        <w:tc>
          <w:tcPr>
            <w:tcW w:w="2955" w:type="dxa"/>
          </w:tcPr>
          <w:p>
            <w:pPr>
              <w:spacing w:after="20" w:line="240" w:lineRule="auto"/>
              <w:jc w:val="left"/>
            </w:pPr>
            <w:r>
              <w:rPr>
                <w:sz w:val="16"/>
                <w:szCs w:val="16"/>
              </w:rPr>
              <w:t xml:space="preserve">Docente</w:t>
            </w:r>
          </w:p>
        </w:tc>
        <w:tc>
          <w:tcPr>
            <w:tcW w:w="10481" w:type="dxa"/>
          </w:tcPr>
          <w:p>
            <w:pPr>
              <w:spacing w:after="20" w:line="240" w:lineRule="auto"/>
              <w:jc w:val="left"/>
            </w:pPr>
            <w:r>
              <w:rPr>
                <w:sz w:val="16"/>
                <w:szCs w:val="16"/>
              </w:rPr>
              <w:t xml:space="preserve">Dr. Maglioni Arana Caparachin</w:t>
            </w:r>
          </w:p>
        </w:tc>
      </w:tr>
      <w:tr>
        <w:trPr>
          <w:cantSplit/>
        </w:trPr>
        <w:tc>
          <w:tcPr>
            <w:tcW w:w="2955" w:type="dxa"/>
          </w:tcPr>
          <w:p>
            <w:pPr>
              <w:spacing w:after="20" w:line="240" w:lineRule="auto"/>
              <w:jc w:val="left"/>
            </w:pPr>
            <w:r>
              <w:rPr>
                <w:sz w:val="16"/>
                <w:szCs w:val="16"/>
              </w:rPr>
              <w:t xml:space="preserve">Fecha</w:t>
            </w:r>
          </w:p>
        </w:tc>
        <w:tc>
          <w:tcPr>
            <w:tcW w:w="10481" w:type="dxa"/>
          </w:tcPr>
          <w:p>
            <w:pPr>
              <w:spacing w:after="20" w:line="240" w:lineRule="auto"/>
              <w:jc w:val="left"/>
            </w:pPr>
            <w:r>
              <w:rPr>
                <w:sz w:val="16"/>
                <w:szCs w:val="16"/>
              </w:rPr>
              <w:t xml:space="preserve">30/09/2026</w:t>
            </w:r>
          </w:p>
        </w:tc>
      </w:tr>
    </w:tbl>
    <w:p>
      <w:pPr>
        <w:spacing w:after="120"/>
      </w:pPr>
    </w:p>
    <w:tbl>
      <w:tblPr>
        <w:tblStyle w:val="Tablaconcuadrcula"/>
        <w:tblW w:w="13436" w:type="dxa"/>
        <w:tblLook w:val="04A0" w:firstRow="1" w:lastRow="0" w:firstColumn="1" w:lastColumn="0" w:noHBand="0" w:noVBand="1"/>
      </w:tblPr>
      <w:tblGrid>
        <w:gridCol w:w="13436"/>
      </w:tblGrid>
      <w:tr>
        <w:tc>
          <w:tcPr>
            <w:tcW w:w="13436" w:type="dxa"/>
            <w:shd w:val="clear" w:color="auto" w:fill="FFF2CC"/>
          </w:tcPr>
          <w:p>
            <w:pPr>
              <w:spacing w:after="60" w:line="252" w:lineRule="auto"/>
              <w:jc w:val="left"/>
            </w:pPr>
            <w:r>
              <w:rPr>
                <w:b/>
                <w:bCs/>
                <w:sz w:val="16"/>
                <w:szCs w:val="16"/>
              </w:rPr>
              <w:t xml:space="preserve">Estado de la información de este documento</w:t>
            </w:r>
          </w:p>
          <w:p>
            <w:pPr>
              <w:spacing w:after="60" w:line="252" w:lineRule="auto"/>
              <w:jc w:val="left"/>
            </w:pPr>
            <w:r>
              <w:rPr>
                <w:b/>
                <w:bCs/>
                <w:sz w:val="16"/>
                <w:szCs w:val="16"/>
              </w:rPr>
              <w:t xml:space="preserve">HECHO VERIFICADO:</w:t>
            </w:r>
            <w:r>
              <w:rPr>
                <w:sz w:val="16"/>
                <w:szCs w:val="16"/>
              </w:rPr>
              <w:t xml:space="preserve"> comprobado en el repositorio (código, pruebas ejecutadas, documentos versionados).</w:t>
            </w:r>
          </w:p>
          <w:p>
            <w:pPr>
              <w:spacing w:after="60" w:line="252" w:lineRule="auto"/>
              <w:jc w:val="left"/>
            </w:pPr>
            <w:r>
              <w:rPr>
                <w:b/>
                <w:bCs/>
                <w:sz w:val="16"/>
                <w:szCs w:val="16"/>
              </w:rPr>
              <w:t xml:space="preserve">AS-IS PRELIMINAR:</w:t>
            </w:r>
            <w:r>
              <w:rPr>
                <w:sz w:val="16"/>
                <w:szCs w:val="16"/>
              </w:rPr>
              <w:t xml:space="preserve"> reconstrucción del proceso actual hecha por el equipo; </w:t>
            </w:r>
            <w:r>
              <w:rPr>
                <w:b/>
                <w:bCs/>
                <w:sz w:val="16"/>
                <w:szCs w:val="16"/>
              </w:rPr>
              <w:t xml:space="preserve">sujeta a validación institucional</w:t>
            </w:r>
            <w:r>
              <w:rPr>
                <w:sz w:val="16"/>
                <w:szCs w:val="16"/>
              </w:rPr>
              <w:t xml:space="preserve"> (RR. HH. / Administración del Colegio). No es un procedimiento validado por la institución.</w:t>
            </w:r>
          </w:p>
          <w:p>
            <w:pPr>
              <w:spacing w:after="60" w:line="252" w:lineRule="auto"/>
              <w:jc w:val="left"/>
            </w:pPr>
            <w:r>
              <w:rPr>
                <w:b/>
                <w:bCs/>
                <w:sz w:val="16"/>
                <w:szCs w:val="16"/>
              </w:rPr>
              <w:t xml:space="preserve">TO-BE PROPUESTO:</w:t>
            </w:r>
            <w:r>
              <w:rPr>
                <w:sz w:val="16"/>
                <w:szCs w:val="16"/>
              </w:rPr>
              <w:t xml:space="preserve"> proceso mejorado diseñado por el equipo; su adopción en la institución no está validada.</w:t>
            </w:r>
          </w:p>
          <w:p>
            <w:pPr>
              <w:spacing w:after="60" w:line="252" w:lineRule="auto"/>
              <w:jc w:val="left"/>
            </w:pPr>
            <w:r>
              <w:rPr>
                <w:b/>
                <w:bCs/>
                <w:sz w:val="16"/>
                <w:szCs w:val="16"/>
              </w:rPr>
              <w:t xml:space="preserve">SOFTWARE IMPLEMENTADO:</w:t>
            </w:r>
            <w:r>
              <w:rPr>
                <w:sz w:val="16"/>
                <w:szCs w:val="16"/>
              </w:rPr>
              <w:t xml:space="preserve"> comportamiento de la plataforma v1.1 (etiqueta v1.1.0-academic), verificado con pruebas.</w:t>
            </w:r>
          </w:p>
          <w:p>
            <w:pPr>
              <w:spacing w:after="60" w:line="252" w:lineRule="auto"/>
              <w:jc w:val="left"/>
            </w:pPr>
            <w:r>
              <w:rPr>
                <w:b/>
                <w:bCs/>
                <w:sz w:val="16"/>
                <w:szCs w:val="16"/>
              </w:rPr>
              <w:t xml:space="preserve">EXPERIMENTAL / PROPUESTO:</w:t>
            </w:r>
            <w:r>
              <w:rPr>
                <w:sz w:val="16"/>
                <w:szCs w:val="16"/>
              </w:rPr>
              <w:t xml:space="preserve"> RF-28 (candidato, no implementado), RF-29 (experimental, solo sobre el proceso) y RNF-C (propuesta). No forman parte de la línea base RF-01 a RF-27.</w:t>
            </w:r>
          </w:p>
          <w:p>
            <w:pPr>
              <w:spacing w:after="60" w:line="252" w:lineRule="auto"/>
              <w:jc w:val="left"/>
            </w:pPr>
            <w:r>
              <w:rPr>
                <w:sz w:val="16"/>
                <w:szCs w:val="16"/>
              </w:rPr>
              <w:t xml:space="preserve">La matriz define qué se mide y con qué instrumento; </w:t>
            </w:r>
            <w:r>
              <w:rPr>
                <w:b/>
                <w:bCs/>
                <w:sz w:val="16"/>
                <w:szCs w:val="16"/>
              </w:rPr>
              <w:t xml:space="preserve">no contiene valores medidos</w:t>
            </w:r>
            <w:r>
              <w:rPr>
                <w:sz w:val="16"/>
                <w:szCs w:val="16"/>
              </w:rPr>
              <w:t xml:space="preserve">. No hay línea base del AS-IS y los cuestionarios Likert no se han aplicado. No se afirma validación institucional ni beneficios medidos.</w:t>
            </w:r>
          </w:p>
          <w:p>
            <w:pPr>
              <w:spacing w:after="60" w:line="252" w:lineRule="auto"/>
              <w:jc w:val="left"/>
            </w:pPr>
            <w:r>
              <w:rPr>
                <w:sz w:val="16"/>
                <w:szCs w:val="16"/>
              </w:rPr>
              <w:t xml:space="preserve">La plataforma </w:t>
            </w:r>
            <w:r>
              <w:rPr>
                <w:b/>
                <w:bCs/>
                <w:sz w:val="16"/>
                <w:szCs w:val="16"/>
              </w:rPr>
              <w:t xml:space="preserve">nunca</w:t>
            </w:r>
            <w:r>
              <w:rPr>
                <w:sz w:val="16"/>
                <w:szCs w:val="16"/>
              </w:rPr>
              <w:t xml:space="preserve"> selecciona, descarta ni contrata automáticamente: el ranking calcula, ordena y compara.</w:t>
            </w:r>
          </w:p>
          <w:p>
            <w:pPr>
              <w:spacing w:after="60" w:line="252" w:lineRule="auto"/>
              <w:jc w:val="left"/>
            </w:pPr>
            <w:r>
              <w:rPr>
                <w:sz w:val="16"/>
                <w:szCs w:val="16"/>
              </w:rPr>
              <w:t xml:space="preserve">La decisión final de selección es </w:t>
            </w:r>
            <w:r>
              <w:rPr>
                <w:b/>
                <w:bCs/>
                <w:sz w:val="16"/>
                <w:szCs w:val="16"/>
              </w:rPr>
              <w:t xml:space="preserve">humana</w:t>
            </w:r>
            <w:r>
              <w:rPr>
                <w:sz w:val="16"/>
                <w:szCs w:val="16"/>
              </w:rPr>
              <w:t xml:space="preserve">: la registra el Aprobador / Dirección con confirmación explícita y justificación (RF-23).</w:t>
            </w:r>
          </w:p>
          <w:p>
            <w:pPr>
              <w:spacing w:after="60" w:line="252" w:lineRule="auto"/>
              <w:jc w:val="left"/>
            </w:pPr>
            <w:r>
              <w:rPr>
                <w:sz w:val="16"/>
                <w:szCs w:val="16"/>
              </w:rPr>
              <w:t xml:space="preserve">Todos los datos de ejemplo son ficticios. No se usan datos personales reales.</w:t>
            </w:r>
          </w:p>
        </w:tc>
      </w:tr>
    </w:tbl>
    <w:p>
      <w:pPr>
        <w:spacing w:after="0"/>
        <w:ind w:left="284"/>
      </w:pPr>
    </w:p>
    <w:p>
      <w:pPr>
        <w:keepNext/>
        <w:spacing w:after="80" w:line="252" w:lineRule="auto"/>
        <w:jc w:val="left"/>
      </w:pPr>
      <w:r>
        <w:rPr>
          <w:b/>
          <w:bCs/>
          <w:sz w:val="24"/>
          <w:szCs w:val="24"/>
        </w:rPr>
        <w:t xml:space="preserve">1. Variables del proyecto</w:t>
      </w:r>
    </w:p>
    <w:p>
      <w:pPr>
        <w:spacing w:after="80" w:line="252" w:lineRule="auto"/>
        <w:jc w:val="left"/>
      </w:pPr>
      <w:r>
        <w:rPr>
          <w:sz w:val="16"/>
          <w:szCs w:val="16"/>
        </w:rPr>
        <w:t xml:space="preserve">Regla de la guía: la solución es la variable independiente; el problema, la dependiente; la metodología, los principios y las herramientas de apoyo, las intermedias. Solo se incluyen intermedias con evidencia en el repositorio: Scrum, DevOps y SOLID (ejemplos de la guía) no se incluyen porque el proyecto no los documenta.</w:t>
      </w:r>
    </w:p>
    <w:tbl>
      <w:tblPr>
        <w:tblStyle w:val="Tablaconcuadrcula"/>
        <w:tblW w:w="13436" w:type="dxa"/>
        <w:tblLayout w:type="fixed"/>
        <w:tblLook w:val="04A0" w:firstRow="1" w:lastRow="0" w:firstColumn="1" w:lastColumn="0" w:noHBand="0" w:noVBand="1"/>
      </w:tblPr>
      <w:tblGrid>
        <w:gridCol w:w="940"/>
        <w:gridCol w:w="2552"/>
        <w:gridCol w:w="4433"/>
        <w:gridCol w:w="3896"/>
        <w:gridCol w:w="1615"/>
      </w:tblGrid>
      <w:tr>
        <w:trPr>
          <w:tblHeader/>
          <w:cantSplit/>
        </w:trPr>
        <w:tc>
          <w:tcPr>
            <w:tcW w:w="940" w:type="dxa"/>
            <w:shd w:val="clear" w:color="auto" w:fill="D9E2F3"/>
          </w:tcPr>
          <w:p>
            <w:pPr>
              <w:spacing w:after="20" w:line="240" w:lineRule="auto"/>
              <w:jc w:val="left"/>
            </w:pPr>
            <w:r>
              <w:rPr>
                <w:b/>
                <w:bCs/>
                <w:sz w:val="15"/>
                <w:szCs w:val="15"/>
              </w:rPr>
              <w:t xml:space="preserve">ID</w:t>
            </w:r>
          </w:p>
        </w:tc>
        <w:tc>
          <w:tcPr>
            <w:tcW w:w="2552" w:type="dxa"/>
            <w:shd w:val="clear" w:color="auto" w:fill="D9E2F3"/>
          </w:tcPr>
          <w:p>
            <w:pPr>
              <w:spacing w:after="20" w:line="240" w:lineRule="auto"/>
              <w:jc w:val="left"/>
            </w:pPr>
            <w:r>
              <w:rPr>
                <w:b/>
                <w:bCs/>
                <w:sz w:val="15"/>
                <w:szCs w:val="15"/>
              </w:rPr>
              <w:t xml:space="preserve">Variable (tipo)</w:t>
            </w:r>
          </w:p>
        </w:tc>
        <w:tc>
          <w:tcPr>
            <w:tcW w:w="4433" w:type="dxa"/>
            <w:shd w:val="clear" w:color="auto" w:fill="D9E2F3"/>
          </w:tcPr>
          <w:p>
            <w:pPr>
              <w:spacing w:after="20" w:line="240" w:lineRule="auto"/>
              <w:jc w:val="left"/>
            </w:pPr>
            <w:r>
              <w:rPr>
                <w:b/>
                <w:bCs/>
                <w:sz w:val="15"/>
                <w:szCs w:val="15"/>
              </w:rPr>
              <w:t xml:space="preserve">Definición conceptual</w:t>
            </w:r>
          </w:p>
        </w:tc>
        <w:tc>
          <w:tcPr>
            <w:tcW w:w="3896" w:type="dxa"/>
            <w:shd w:val="clear" w:color="auto" w:fill="D9E2F3"/>
          </w:tcPr>
          <w:p>
            <w:pPr>
              <w:spacing w:after="20" w:line="240" w:lineRule="auto"/>
              <w:jc w:val="left"/>
            </w:pPr>
            <w:r>
              <w:rPr>
                <w:b/>
                <w:bCs/>
                <w:sz w:val="15"/>
                <w:szCs w:val="15"/>
              </w:rPr>
              <w:t xml:space="preserve">Definición operacional</w:t>
            </w:r>
          </w:p>
        </w:tc>
        <w:tc>
          <w:tcPr>
            <w:tcW w:w="1615" w:type="dxa"/>
            <w:shd w:val="clear" w:color="auto" w:fill="D9E2F3"/>
          </w:tcPr>
          <w:p>
            <w:pPr>
              <w:spacing w:after="20" w:line="240" w:lineRule="auto"/>
              <w:jc w:val="left"/>
            </w:pPr>
            <w:r>
              <w:rPr>
                <w:b/>
                <w:bCs/>
                <w:sz w:val="15"/>
                <w:szCs w:val="15"/>
              </w:rPr>
              <w:t xml:space="preserve">Estado</w:t>
            </w:r>
          </w:p>
        </w:tc>
      </w:tr>
      <w:tr>
        <w:trPr>
          <w:cantSplit/>
        </w:trPr>
        <w:tc>
          <w:tcPr>
            <w:tcW w:w="940" w:type="dxa"/>
          </w:tcPr>
          <w:p>
            <w:pPr>
              <w:spacing w:after="20" w:line="240" w:lineRule="auto"/>
              <w:jc w:val="left"/>
            </w:pPr>
            <w:r>
              <w:rPr>
                <w:sz w:val="15"/>
                <w:szCs w:val="15"/>
              </w:rPr>
              <w:t xml:space="preserve">VI</w:t>
            </w:r>
          </w:p>
        </w:tc>
        <w:tc>
          <w:tcPr>
            <w:tcW w:w="2552" w:type="dxa"/>
          </w:tcPr>
          <w:p>
            <w:pPr>
              <w:spacing w:after="20" w:line="240" w:lineRule="auto"/>
              <w:jc w:val="left"/>
            </w:pPr>
            <w:r>
              <w:rPr>
                <w:sz w:val="15"/>
                <w:szCs w:val="15"/>
              </w:rPr>
              <w:t xml:space="preserve">Plataforma SaaS multiempresa de reclutamiento, evaluación y selección de personal</w:t>
            </w:r>
          </w:p>
          <w:p>
            <w:pPr>
              <w:spacing w:after="20" w:line="240" w:lineRule="auto"/>
              <w:jc w:val="left"/>
            </w:pPr>
            <w:r>
              <w:rPr>
                <w:sz w:val="15"/>
                <w:szCs w:val="15"/>
              </w:rPr>
              <w:t xml:space="preserve">(Independiente: la solución)</w:t>
            </w:r>
          </w:p>
        </w:tc>
        <w:tc>
          <w:tcPr>
            <w:tcW w:w="4433" w:type="dxa"/>
          </w:tcPr>
          <w:p>
            <w:pPr>
              <w:spacing w:after="20" w:line="240" w:lineRule="auto"/>
              <w:jc w:val="left"/>
            </w:pPr>
            <w:r>
              <w:rPr>
                <w:sz w:val="15"/>
                <w:szCs w:val="15"/>
              </w:rPr>
              <w:t xml:space="preserve">Sistema de información web ofrecido como servicio a varias organizaciones, con los datos de cada una aislados, que registra, controla y documenta el ciclo de reclutamiento, evaluación y selección de personal y apoya —sin sustituirla— la decisión humana.</w:t>
            </w:r>
          </w:p>
        </w:tc>
        <w:tc>
          <w:tcPr>
            <w:tcW w:w="3896" w:type="dxa"/>
          </w:tcPr>
          <w:p>
            <w:pPr>
              <w:spacing w:after="20" w:line="240" w:lineRule="auto"/>
              <w:jc w:val="left"/>
            </w:pPr>
            <w:r>
              <w:rPr>
                <w:sz w:val="15"/>
                <w:szCs w:val="15"/>
              </w:rPr>
              <w:t xml:space="preserve">Se mide por la cobertura verificada de sus capacidades en cinco dimensiones (lista de cotejo contra la trazabilidad RF → prueba del repositorio) y por la utilidad que perciben sus usuarios internos (cuestionario Likert propuesto, todavía no aplicado).</w:t>
            </w:r>
          </w:p>
        </w:tc>
        <w:tc>
          <w:tcPr>
            <w:tcW w:w="1615" w:type="dxa"/>
          </w:tcPr>
          <w:p>
            <w:pPr>
              <w:spacing w:after="20" w:line="240" w:lineRule="auto"/>
              <w:jc w:val="left"/>
            </w:pPr>
            <w:r>
              <w:rPr>
                <w:sz w:val="15"/>
                <w:szCs w:val="15"/>
              </w:rPr>
              <w:t xml:space="preserve">SOFTWARE IMPLEMENTADO</w:t>
            </w:r>
          </w:p>
        </w:tc>
      </w:tr>
      <w:tr>
        <w:trPr>
          <w:cantSplit/>
        </w:trPr>
        <w:tc>
          <w:tcPr>
            <w:tcW w:w="940" w:type="dxa"/>
          </w:tcPr>
          <w:p>
            <w:pPr>
              <w:spacing w:after="20" w:line="240" w:lineRule="auto"/>
              <w:jc w:val="left"/>
            </w:pPr>
            <w:r>
              <w:rPr>
                <w:sz w:val="15"/>
                <w:szCs w:val="15"/>
              </w:rPr>
              <w:t xml:space="preserve">VD</w:t>
            </w:r>
          </w:p>
        </w:tc>
        <w:tc>
          <w:tcPr>
            <w:tcW w:w="2552" w:type="dxa"/>
          </w:tcPr>
          <w:p>
            <w:pPr>
              <w:spacing w:after="20" w:line="240" w:lineRule="auto"/>
              <w:jc w:val="left"/>
            </w:pPr>
            <w:r>
              <w:rPr>
                <w:sz w:val="15"/>
                <w:szCs w:val="15"/>
              </w:rPr>
              <w:t xml:space="preserve">Gestión del proceso de reclutamiento, evaluación y selección de personal</w:t>
            </w:r>
          </w:p>
          <w:p>
            <w:pPr>
              <w:spacing w:after="20" w:line="240" w:lineRule="auto"/>
              <w:jc w:val="left"/>
            </w:pPr>
            <w:r>
              <w:rPr>
                <w:sz w:val="15"/>
                <w:szCs w:val="15"/>
              </w:rPr>
              <w:t xml:space="preserve">(Dependiente: el problema)</w:t>
            </w:r>
          </w:p>
        </w:tc>
        <w:tc>
          <w:tcPr>
            <w:tcW w:w="4433" w:type="dxa"/>
          </w:tcPr>
          <w:p>
            <w:pPr>
              <w:spacing w:after="20" w:line="240" w:lineRule="auto"/>
              <w:jc w:val="left"/>
            </w:pPr>
            <w:r>
              <w:rPr>
                <w:sz w:val="15"/>
                <w:szCs w:val="15"/>
              </w:rPr>
              <w:t xml:space="preserve">Conjunto de actividades con que la organización cubre una necesidad de personal, desde el requerimiento del área hasta la comunicación del resultado. En el caso de estudio presenta cinco problemas (P1 a P5): información distribuida, seguimiento manual, evaluaciones heterogéneas, comunicación manual e indicadores limitados. Es un AS-IS preliminar, sin validación institucional.</w:t>
            </w:r>
          </w:p>
        </w:tc>
        <w:tc>
          <w:tcPr>
            <w:tcW w:w="3896" w:type="dxa"/>
          </w:tcPr>
          <w:p>
            <w:pPr>
              <w:spacing w:after="20" w:line="240" w:lineRule="auto"/>
              <w:jc w:val="left"/>
            </w:pPr>
            <w:r>
              <w:rPr>
                <w:sz w:val="15"/>
                <w:szCs w:val="15"/>
              </w:rPr>
              <w:t xml:space="preserve">Se mide en cinco dimensiones, una por problema, con indicadores obtenidos de los registros de la plataforma (ficha de observación), listas de cotejo y un cuestionario Likert a RR. HH. y al Aprobador / Dirección. No hay línea base medida del AS-IS: los indicadores quedan definidos para medir el TO-BE. Los indicadores de avance, oportunidad, carga y evaluación contienen las 15 variables operacionales que usa el componente experimental RF-29 (la guía pide que los indicadores de la variable dependiente sean los de la predicción).</w:t>
            </w:r>
          </w:p>
        </w:tc>
        <w:tc>
          <w:tcPr>
            <w:tcW w:w="1615" w:type="dxa"/>
          </w:tcPr>
          <w:p>
            <w:pPr>
              <w:spacing w:after="20" w:line="240" w:lineRule="auto"/>
              <w:jc w:val="left"/>
            </w:pPr>
            <w:r>
              <w:rPr>
                <w:sz w:val="15"/>
                <w:szCs w:val="15"/>
              </w:rPr>
              <w:t xml:space="preserve">AS-IS PRELIMINAR</w:t>
            </w:r>
          </w:p>
        </w:tc>
      </w:tr>
      <w:tr>
        <w:trPr>
          <w:cantSplit/>
        </w:trPr>
        <w:tc>
          <w:tcPr>
            <w:tcW w:w="940" w:type="dxa"/>
          </w:tcPr>
          <w:p>
            <w:pPr>
              <w:spacing w:after="20" w:line="240" w:lineRule="auto"/>
              <w:jc w:val="left"/>
            </w:pPr>
            <w:r>
              <w:rPr>
                <w:sz w:val="15"/>
                <w:szCs w:val="15"/>
              </w:rPr>
              <w:t xml:space="preserve">VIN-1</w:t>
            </w:r>
          </w:p>
        </w:tc>
        <w:tc>
          <w:tcPr>
            <w:tcW w:w="2552" w:type="dxa"/>
          </w:tcPr>
          <w:p>
            <w:pPr>
              <w:spacing w:after="20" w:line="240" w:lineRule="auto"/>
              <w:jc w:val="left"/>
            </w:pPr>
            <w:r>
              <w:rPr>
                <w:sz w:val="15"/>
                <w:szCs w:val="15"/>
              </w:rPr>
              <w:t xml:space="preserve">Aseguramiento de la calidad con desarrollo guiado por pruebas (TDD) y pruebas automatizadas</w:t>
            </w:r>
          </w:p>
          <w:p>
            <w:pPr>
              <w:spacing w:after="20" w:line="240" w:lineRule="auto"/>
              <w:jc w:val="left"/>
            </w:pPr>
            <w:r>
              <w:rPr>
                <w:sz w:val="15"/>
                <w:szCs w:val="15"/>
              </w:rPr>
              <w:t xml:space="preserve">(Intermedia: metodología)</w:t>
            </w:r>
          </w:p>
        </w:tc>
        <w:tc>
          <w:tcPr>
            <w:tcW w:w="4433" w:type="dxa"/>
          </w:tcPr>
          <w:p>
            <w:pPr>
              <w:spacing w:after="20" w:line="240" w:lineRule="auto"/>
              <w:jc w:val="left"/>
            </w:pPr>
            <w:r>
              <w:rPr>
                <w:sz w:val="15"/>
                <w:szCs w:val="15"/>
              </w:rPr>
              <w:t xml:space="preserve">Enfoque de desarrollo en que cada regla de negocio se escribe primero como una prueba que falla (RED) y después se implementa hasta que la prueba pasa (GREEN), complementado con pruebas automatizadas de componentes, de extremo a extremo e integración continua.</w:t>
            </w:r>
          </w:p>
        </w:tc>
        <w:tc>
          <w:tcPr>
            <w:tcW w:w="3896" w:type="dxa"/>
          </w:tcPr>
          <w:p>
            <w:pPr>
              <w:spacing w:after="20" w:line="240" w:lineRule="auto"/>
              <w:jc w:val="left"/>
            </w:pPr>
            <w:r>
              <w:rPr>
                <w:sz w:val="15"/>
                <w:szCs w:val="15"/>
              </w:rPr>
              <w:t xml:space="preserve">Se mide por los ciclos RED → GREEN documentados, la trazabilidad RF → prueba y los resultados de las suites automatizadas y de la integración continua, tal como están registrados en el repositorio y en GitHub Actions.</w:t>
            </w:r>
          </w:p>
        </w:tc>
        <w:tc>
          <w:tcPr>
            <w:tcW w:w="1615" w:type="dxa"/>
          </w:tcPr>
          <w:p>
            <w:pPr>
              <w:spacing w:after="20" w:line="240" w:lineRule="auto"/>
              <w:jc w:val="left"/>
            </w:pPr>
            <w:r>
              <w:rPr>
                <w:sz w:val="15"/>
                <w:szCs w:val="15"/>
              </w:rPr>
              <w:t xml:space="preserve">HECHO VERIFICADO</w:t>
            </w:r>
          </w:p>
        </w:tc>
      </w:tr>
      <w:tr>
        <w:trPr>
          <w:cantSplit/>
        </w:trPr>
        <w:tc>
          <w:tcPr>
            <w:tcW w:w="940" w:type="dxa"/>
          </w:tcPr>
          <w:p>
            <w:pPr>
              <w:spacing w:after="20" w:line="240" w:lineRule="auto"/>
              <w:jc w:val="left"/>
            </w:pPr>
            <w:r>
              <w:rPr>
                <w:sz w:val="15"/>
                <w:szCs w:val="15"/>
              </w:rPr>
              <w:t xml:space="preserve">VIN-2</w:t>
            </w:r>
          </w:p>
        </w:tc>
        <w:tc>
          <w:tcPr>
            <w:tcW w:w="2552" w:type="dxa"/>
          </w:tcPr>
          <w:p>
            <w:pPr>
              <w:spacing w:after="20" w:line="240" w:lineRule="auto"/>
              <w:jc w:val="left"/>
            </w:pPr>
            <w:r>
              <w:rPr>
                <w:sz w:val="15"/>
                <w:szCs w:val="15"/>
              </w:rPr>
              <w:t xml:space="preserve">Modelo de calidad del producto ISO/IEC 25010 (marco de referencia)</w:t>
            </w:r>
          </w:p>
          <w:p>
            <w:pPr>
              <w:spacing w:after="20" w:line="240" w:lineRule="auto"/>
              <w:jc w:val="left"/>
            </w:pPr>
            <w:r>
              <w:rPr>
                <w:sz w:val="15"/>
                <w:szCs w:val="15"/>
              </w:rPr>
              <w:t xml:space="preserve">(Intermedia: principio / norma de calidad)</w:t>
            </w:r>
          </w:p>
        </w:tc>
        <w:tc>
          <w:tcPr>
            <w:tcW w:w="4433" w:type="dxa"/>
          </w:tcPr>
          <w:p>
            <w:pPr>
              <w:spacing w:after="20" w:line="240" w:lineRule="auto"/>
              <w:jc w:val="left"/>
            </w:pPr>
            <w:r>
              <w:rPr>
                <w:sz w:val="15"/>
                <w:szCs w:val="15"/>
              </w:rPr>
              <w:t xml:space="preserve">Modelo normativo que organiza la calidad del producto software en características como la seguridad, la usabilidad, la eficiencia de desempeño, la fiabilidad, la compatibilidad y la mantenibilidad. En el proyecto es un marco de referencia: el producto no se evaluó ni se certificó según la norma.</w:t>
            </w:r>
          </w:p>
        </w:tc>
        <w:tc>
          <w:tcPr>
            <w:tcW w:w="3896" w:type="dxa"/>
          </w:tcPr>
          <w:p>
            <w:pPr>
              <w:spacing w:after="20" w:line="240" w:lineRule="auto"/>
              <w:jc w:val="left"/>
            </w:pPr>
            <w:r>
              <w:rPr>
                <w:sz w:val="15"/>
                <w:szCs w:val="15"/>
              </w:rPr>
              <w:t xml:space="preserve">Se mide por el estado de verificación de los diez RNF académicos del Formato 07, agrupados por característica de la norma.</w:t>
            </w:r>
          </w:p>
        </w:tc>
        <w:tc>
          <w:tcPr>
            <w:tcW w:w="1615" w:type="dxa"/>
          </w:tcPr>
          <w:p>
            <w:pPr>
              <w:spacing w:after="20" w:line="240" w:lineRule="auto"/>
              <w:jc w:val="left"/>
            </w:pPr>
            <w:r>
              <w:rPr>
                <w:sz w:val="15"/>
                <w:szCs w:val="15"/>
              </w:rPr>
              <w:t xml:space="preserve">HECHO VERIFICADO</w:t>
            </w:r>
          </w:p>
        </w:tc>
      </w:tr>
      <w:tr>
        <w:trPr>
          <w:cantSplit/>
        </w:trPr>
        <w:tc>
          <w:tcPr>
            <w:tcW w:w="940" w:type="dxa"/>
          </w:tcPr>
          <w:p>
            <w:pPr>
              <w:spacing w:after="20" w:line="240" w:lineRule="auto"/>
              <w:jc w:val="left"/>
            </w:pPr>
            <w:r>
              <w:rPr>
                <w:sz w:val="15"/>
                <w:szCs w:val="15"/>
              </w:rPr>
              <w:t xml:space="preserve">VIN-3</w:t>
            </w:r>
          </w:p>
        </w:tc>
        <w:tc>
          <w:tcPr>
            <w:tcW w:w="2552" w:type="dxa"/>
          </w:tcPr>
          <w:p>
            <w:pPr>
              <w:spacing w:after="20" w:line="240" w:lineRule="auto"/>
              <w:jc w:val="left"/>
            </w:pPr>
            <w:r>
              <w:rPr>
                <w:sz w:val="15"/>
                <w:szCs w:val="15"/>
              </w:rPr>
              <w:t xml:space="preserve">Arquitectura modular multiempresa y entorno reproducible</w:t>
            </w:r>
          </w:p>
          <w:p>
            <w:pPr>
              <w:spacing w:after="20" w:line="240" w:lineRule="auto"/>
              <w:jc w:val="left"/>
            </w:pPr>
            <w:r>
              <w:rPr>
                <w:sz w:val="15"/>
                <w:szCs w:val="15"/>
              </w:rPr>
              <w:t xml:space="preserve">(Intermedia: herramientas y principios de arquitectura)</w:t>
            </w:r>
          </w:p>
        </w:tc>
        <w:tc>
          <w:tcPr>
            <w:tcW w:w="4433" w:type="dxa"/>
          </w:tcPr>
          <w:p>
            <w:pPr>
              <w:spacing w:after="20" w:line="240" w:lineRule="auto"/>
              <w:jc w:val="left"/>
            </w:pPr>
            <w:r>
              <w:rPr>
                <w:sz w:val="15"/>
                <w:szCs w:val="15"/>
              </w:rPr>
              <w:t xml:space="preserve">Organización técnica del sistema como monolito modular (Laravel 13 y React 19 con Inertia, sobre PostgreSQL 17 y Redis 7), con aislamiento lógico por organización, un entorno reproducible con Docker Compose y control de versiones con Git.</w:t>
            </w:r>
          </w:p>
        </w:tc>
        <w:tc>
          <w:tcPr>
            <w:tcW w:w="3896" w:type="dxa"/>
          </w:tcPr>
          <w:p>
            <w:pPr>
              <w:spacing w:after="20" w:line="240" w:lineRule="auto"/>
              <w:jc w:val="left"/>
            </w:pPr>
            <w:r>
              <w:rPr>
                <w:sz w:val="15"/>
                <w:szCs w:val="15"/>
              </w:rPr>
              <w:t xml:space="preserve">Se mide por la modularidad de la arquitectura conceptual (F11), el aislamiento verificado entre organizaciones y la reproducibilidad del entorno de desarrollo, demostración y pruebas.</w:t>
            </w:r>
          </w:p>
        </w:tc>
        <w:tc>
          <w:tcPr>
            <w:tcW w:w="1615" w:type="dxa"/>
          </w:tcPr>
          <w:p>
            <w:pPr>
              <w:spacing w:after="20" w:line="240" w:lineRule="auto"/>
              <w:jc w:val="left"/>
            </w:pPr>
            <w:r>
              <w:rPr>
                <w:sz w:val="15"/>
                <w:szCs w:val="15"/>
              </w:rPr>
              <w:t xml:space="preserve">HECHO VERIFICADO</w:t>
            </w:r>
          </w:p>
        </w:tc>
      </w:tr>
      <w:tr>
        <w:trPr>
          <w:cantSplit/>
        </w:trPr>
        <w:tc>
          <w:tcPr>
            <w:tcW w:w="940" w:type="dxa"/>
          </w:tcPr>
          <w:p>
            <w:pPr>
              <w:spacing w:after="20" w:line="240" w:lineRule="auto"/>
              <w:jc w:val="left"/>
            </w:pPr>
            <w:r>
              <w:rPr>
                <w:sz w:val="15"/>
                <w:szCs w:val="15"/>
              </w:rPr>
              <w:t xml:space="preserve">VIN-4</w:t>
            </w:r>
          </w:p>
        </w:tc>
        <w:tc>
          <w:tcPr>
            <w:tcW w:w="2552" w:type="dxa"/>
          </w:tcPr>
          <w:p>
            <w:pPr>
              <w:spacing w:after="20" w:line="240" w:lineRule="auto"/>
              <w:jc w:val="left"/>
            </w:pPr>
            <w:r>
              <w:rPr>
                <w:sz w:val="15"/>
                <w:szCs w:val="15"/>
              </w:rPr>
              <w:t xml:space="preserve">Aprendizaje automático experimental para el riesgo operacional del proceso (RF-29)</w:t>
            </w:r>
          </w:p>
          <w:p>
            <w:pPr>
              <w:spacing w:after="20" w:line="240" w:lineRule="auto"/>
              <w:jc w:val="left"/>
            </w:pPr>
            <w:r>
              <w:rPr>
                <w:sz w:val="15"/>
                <w:szCs w:val="15"/>
              </w:rPr>
              <w:t xml:space="preserve">(Intermedia: herramienta de apoyo para la predicción)</w:t>
            </w:r>
          </w:p>
        </w:tc>
        <w:tc>
          <w:tcPr>
            <w:tcW w:w="4433" w:type="dxa"/>
          </w:tcPr>
          <w:p>
            <w:pPr>
              <w:spacing w:after="20" w:line="240" w:lineRule="auto"/>
              <w:jc w:val="left"/>
            </w:pPr>
            <w:r>
              <w:rPr>
                <w:sz w:val="15"/>
                <w:szCs w:val="15"/>
              </w:rPr>
              <w:t xml:space="preserve">Modelo de clasificación supervisada (regresión logística) que estima el riesgo de que un proceso de selección cierre después de su plazo objetivo, a partir de variables operacionales del proceso. Es informativo: no evalúa, puntúa, ordena ni selecciona personas, y no toma la decisión.</w:t>
            </w:r>
          </w:p>
        </w:tc>
        <w:tc>
          <w:tcPr>
            <w:tcW w:w="3896" w:type="dxa"/>
          </w:tcPr>
          <w:p>
            <w:pPr>
              <w:spacing w:after="20" w:line="240" w:lineRule="auto"/>
              <w:jc w:val="left"/>
            </w:pPr>
            <w:r>
              <w:rPr>
                <w:sz w:val="15"/>
                <w:szCs w:val="15"/>
              </w:rPr>
              <w:t xml:space="preserve">Se describe por las 15 variables operacionales que usa (coinciden con indicadores de la variable dependiente), la salida que entrega y sus salvaguardas. Su desempeño solo se midió con datos sintéticos: no está validado institucionalmente ni autorizado para producción.</w:t>
            </w:r>
          </w:p>
        </w:tc>
        <w:tc>
          <w:tcPr>
            <w:tcW w:w="1615" w:type="dxa"/>
          </w:tcPr>
          <w:p>
            <w:pPr>
              <w:spacing w:after="20" w:line="240" w:lineRule="auto"/>
              <w:jc w:val="left"/>
            </w:pPr>
            <w:r>
              <w:rPr>
                <w:sz w:val="15"/>
                <w:szCs w:val="15"/>
              </w:rPr>
              <w:t xml:space="preserve">EXPERIMENTAL / PROPUESTO</w:t>
            </w:r>
          </w:p>
        </w:tc>
      </w:tr>
    </w:tbl>
    <w:p>
      <w:pPr>
        <w:spacing w:after="120"/>
      </w:pPr>
    </w:p>
    <w:p>
      <w:pPr>
        <w:keepNext/>
        <w:spacing w:after="80" w:line="252" w:lineRule="auto"/>
        <w:jc w:val="left"/>
      </w:pPr>
      <w:r>
        <w:rPr>
          <w:b/>
          <w:bCs/>
          <w:sz w:val="24"/>
          <w:szCs w:val="24"/>
        </w:rPr>
        <w:t xml:space="preserve">2. Relaciones entre variables</w:t>
      </w:r>
    </w:p>
    <w:tbl>
      <w:tblPr>
        <w:tblStyle w:val="Tablaconcuadrcula"/>
        <w:tblW w:w="13436" w:type="dxa"/>
        <w:tblLayout w:type="fixed"/>
        <w:tblLook w:val="04A0" w:firstRow="1" w:lastRow="0" w:firstColumn="1" w:lastColumn="0" w:noHBand="0" w:noVBand="1"/>
      </w:tblPr>
      <w:tblGrid>
        <w:gridCol w:w="1612"/>
        <w:gridCol w:w="1612"/>
        <w:gridCol w:w="6986"/>
        <w:gridCol w:w="3226"/>
      </w:tblGrid>
      <w:tr>
        <w:trPr>
          <w:tblHeader/>
          <w:cantSplit/>
        </w:trPr>
        <w:tc>
          <w:tcPr>
            <w:tcW w:w="1612" w:type="dxa"/>
            <w:shd w:val="clear" w:color="auto" w:fill="D9E2F3"/>
          </w:tcPr>
          <w:p>
            <w:pPr>
              <w:spacing w:after="20" w:line="240" w:lineRule="auto"/>
              <w:jc w:val="left"/>
            </w:pPr>
            <w:r>
              <w:rPr>
                <w:b/>
                <w:bCs/>
                <w:sz w:val="15"/>
                <w:szCs w:val="15"/>
              </w:rPr>
              <w:t xml:space="preserve">Origen</w:t>
            </w:r>
          </w:p>
        </w:tc>
        <w:tc>
          <w:tcPr>
            <w:tcW w:w="1612" w:type="dxa"/>
            <w:shd w:val="clear" w:color="auto" w:fill="D9E2F3"/>
          </w:tcPr>
          <w:p>
            <w:pPr>
              <w:spacing w:after="20" w:line="240" w:lineRule="auto"/>
              <w:jc w:val="left"/>
            </w:pPr>
            <w:r>
              <w:rPr>
                <w:b/>
                <w:bCs/>
                <w:sz w:val="15"/>
                <w:szCs w:val="15"/>
              </w:rPr>
              <w:t xml:space="preserve">Destino</w:t>
            </w:r>
          </w:p>
        </w:tc>
        <w:tc>
          <w:tcPr>
            <w:tcW w:w="6986" w:type="dxa"/>
            <w:shd w:val="clear" w:color="auto" w:fill="D9E2F3"/>
          </w:tcPr>
          <w:p>
            <w:pPr>
              <w:spacing w:after="20" w:line="240" w:lineRule="auto"/>
              <w:jc w:val="left"/>
            </w:pPr>
            <w:r>
              <w:rPr>
                <w:b/>
                <w:bCs/>
                <w:sz w:val="15"/>
                <w:szCs w:val="15"/>
              </w:rPr>
              <w:t xml:space="preserve">Relación</w:t>
            </w:r>
          </w:p>
        </w:tc>
        <w:tc>
          <w:tcPr>
            <w:tcW w:w="3226" w:type="dxa"/>
            <w:shd w:val="clear" w:color="auto" w:fill="D9E2F3"/>
          </w:tcPr>
          <w:p>
            <w:pPr>
              <w:spacing w:after="20" w:line="240" w:lineRule="auto"/>
              <w:jc w:val="left"/>
            </w:pPr>
            <w:r>
              <w:rPr>
                <w:b/>
                <w:bCs/>
                <w:sz w:val="15"/>
                <w:szCs w:val="15"/>
              </w:rPr>
              <w:t xml:space="preserve">Estado</w:t>
            </w:r>
          </w:p>
        </w:tc>
      </w:tr>
      <w:tr>
        <w:trPr>
          <w:cantSplit/>
        </w:trPr>
        <w:tc>
          <w:tcPr>
            <w:tcW w:w="1612" w:type="dxa"/>
          </w:tcPr>
          <w:p>
            <w:pPr>
              <w:spacing w:after="20" w:line="240" w:lineRule="auto"/>
              <w:jc w:val="left"/>
            </w:pPr>
            <w:r>
              <w:rPr>
                <w:sz w:val="15"/>
                <w:szCs w:val="15"/>
              </w:rPr>
              <w:t xml:space="preserve">VIN-1</w:t>
            </w:r>
          </w:p>
        </w:tc>
        <w:tc>
          <w:tcPr>
            <w:tcW w:w="1612" w:type="dxa"/>
          </w:tcPr>
          <w:p>
            <w:pPr>
              <w:spacing w:after="20" w:line="240" w:lineRule="auto"/>
              <w:jc w:val="left"/>
            </w:pPr>
            <w:r>
              <w:rPr>
                <w:sz w:val="15"/>
                <w:szCs w:val="15"/>
              </w:rPr>
              <w:t xml:space="preserve">VI</w:t>
            </w:r>
          </w:p>
        </w:tc>
        <w:tc>
          <w:tcPr>
            <w:tcW w:w="6986" w:type="dxa"/>
          </w:tcPr>
          <w:p>
            <w:pPr>
              <w:spacing w:after="20" w:line="240" w:lineRule="auto"/>
              <w:jc w:val="left"/>
            </w:pPr>
            <w:r>
              <w:rPr>
                <w:sz w:val="15"/>
                <w:szCs w:val="15"/>
              </w:rPr>
              <w:t xml:space="preserve">Condiciona la calidad con que se construye la solución</w:t>
            </w:r>
          </w:p>
        </w:tc>
        <w:tc>
          <w:tcPr>
            <w:tcW w:w="3226" w:type="dxa"/>
          </w:tcPr>
          <w:p>
            <w:pPr>
              <w:spacing w:after="20" w:line="240" w:lineRule="auto"/>
              <w:jc w:val="left"/>
            </w:pPr>
            <w:r>
              <w:rPr>
                <w:sz w:val="15"/>
                <w:szCs w:val="15"/>
              </w:rPr>
              <w:t xml:space="preserve">HECHO VERIFICADO</w:t>
            </w:r>
          </w:p>
        </w:tc>
      </w:tr>
      <w:tr>
        <w:trPr>
          <w:cantSplit/>
        </w:trPr>
        <w:tc>
          <w:tcPr>
            <w:tcW w:w="1612" w:type="dxa"/>
          </w:tcPr>
          <w:p>
            <w:pPr>
              <w:spacing w:after="20" w:line="240" w:lineRule="auto"/>
              <w:jc w:val="left"/>
            </w:pPr>
            <w:r>
              <w:rPr>
                <w:sz w:val="15"/>
                <w:szCs w:val="15"/>
              </w:rPr>
              <w:t xml:space="preserve">VIN-2</w:t>
            </w:r>
          </w:p>
        </w:tc>
        <w:tc>
          <w:tcPr>
            <w:tcW w:w="1612" w:type="dxa"/>
          </w:tcPr>
          <w:p>
            <w:pPr>
              <w:spacing w:after="20" w:line="240" w:lineRule="auto"/>
              <w:jc w:val="left"/>
            </w:pPr>
            <w:r>
              <w:rPr>
                <w:sz w:val="15"/>
                <w:szCs w:val="15"/>
              </w:rPr>
              <w:t xml:space="preserve">VI</w:t>
            </w:r>
          </w:p>
        </w:tc>
        <w:tc>
          <w:tcPr>
            <w:tcW w:w="6986" w:type="dxa"/>
          </w:tcPr>
          <w:p>
            <w:pPr>
              <w:spacing w:after="20" w:line="240" w:lineRule="auto"/>
              <w:jc w:val="left"/>
            </w:pPr>
            <w:r>
              <w:rPr>
                <w:sz w:val="15"/>
                <w:szCs w:val="15"/>
              </w:rPr>
              <w:t xml:space="preserve">Orienta las características de calidad que la solución debe cumplir</w:t>
            </w:r>
          </w:p>
        </w:tc>
        <w:tc>
          <w:tcPr>
            <w:tcW w:w="3226" w:type="dxa"/>
          </w:tcPr>
          <w:p>
            <w:pPr>
              <w:spacing w:after="20" w:line="240" w:lineRule="auto"/>
              <w:jc w:val="left"/>
            </w:pPr>
            <w:r>
              <w:rPr>
                <w:sz w:val="15"/>
                <w:szCs w:val="15"/>
              </w:rPr>
              <w:t xml:space="preserve">HECHO VERIFICADO</w:t>
            </w:r>
          </w:p>
        </w:tc>
      </w:tr>
      <w:tr>
        <w:trPr>
          <w:cantSplit/>
        </w:trPr>
        <w:tc>
          <w:tcPr>
            <w:tcW w:w="1612" w:type="dxa"/>
          </w:tcPr>
          <w:p>
            <w:pPr>
              <w:spacing w:after="20" w:line="240" w:lineRule="auto"/>
              <w:jc w:val="left"/>
            </w:pPr>
            <w:r>
              <w:rPr>
                <w:sz w:val="15"/>
                <w:szCs w:val="15"/>
              </w:rPr>
              <w:t xml:space="preserve">VIN-3</w:t>
            </w:r>
          </w:p>
        </w:tc>
        <w:tc>
          <w:tcPr>
            <w:tcW w:w="1612" w:type="dxa"/>
          </w:tcPr>
          <w:p>
            <w:pPr>
              <w:spacing w:after="20" w:line="240" w:lineRule="auto"/>
              <w:jc w:val="left"/>
            </w:pPr>
            <w:r>
              <w:rPr>
                <w:sz w:val="15"/>
                <w:szCs w:val="15"/>
              </w:rPr>
              <w:t xml:space="preserve">VI</w:t>
            </w:r>
          </w:p>
        </w:tc>
        <w:tc>
          <w:tcPr>
            <w:tcW w:w="6986" w:type="dxa"/>
          </w:tcPr>
          <w:p>
            <w:pPr>
              <w:spacing w:after="20" w:line="240" w:lineRule="auto"/>
              <w:jc w:val="left"/>
            </w:pPr>
            <w:r>
              <w:rPr>
                <w:sz w:val="15"/>
                <w:szCs w:val="15"/>
              </w:rPr>
              <w:t xml:space="preserve">Define cómo se estructura y se despliega la solución</w:t>
            </w:r>
          </w:p>
        </w:tc>
        <w:tc>
          <w:tcPr>
            <w:tcW w:w="3226" w:type="dxa"/>
          </w:tcPr>
          <w:p>
            <w:pPr>
              <w:spacing w:after="20" w:line="240" w:lineRule="auto"/>
              <w:jc w:val="left"/>
            </w:pPr>
            <w:r>
              <w:rPr>
                <w:sz w:val="15"/>
                <w:szCs w:val="15"/>
              </w:rPr>
              <w:t xml:space="preserve">HECHO VERIFICADO</w:t>
            </w:r>
          </w:p>
        </w:tc>
      </w:tr>
      <w:tr>
        <w:trPr>
          <w:cantSplit/>
        </w:trPr>
        <w:tc>
          <w:tcPr>
            <w:tcW w:w="1612" w:type="dxa"/>
          </w:tcPr>
          <w:p>
            <w:pPr>
              <w:spacing w:after="20" w:line="240" w:lineRule="auto"/>
              <w:jc w:val="left"/>
            </w:pPr>
            <w:r>
              <w:rPr>
                <w:sz w:val="15"/>
                <w:szCs w:val="15"/>
              </w:rPr>
              <w:t xml:space="preserve">VI</w:t>
            </w:r>
          </w:p>
        </w:tc>
        <w:tc>
          <w:tcPr>
            <w:tcW w:w="1612" w:type="dxa"/>
          </w:tcPr>
          <w:p>
            <w:pPr>
              <w:spacing w:after="20" w:line="240" w:lineRule="auto"/>
              <w:jc w:val="left"/>
            </w:pPr>
            <w:r>
              <w:rPr>
                <w:sz w:val="15"/>
                <w:szCs w:val="15"/>
              </w:rPr>
              <w:t xml:space="preserve">VD</w:t>
            </w:r>
          </w:p>
        </w:tc>
        <w:tc>
          <w:tcPr>
            <w:tcW w:w="6986" w:type="dxa"/>
          </w:tcPr>
          <w:p>
            <w:pPr>
              <w:spacing w:after="20" w:line="240" w:lineRule="auto"/>
              <w:jc w:val="left"/>
            </w:pPr>
            <w:r>
              <w:rPr>
                <w:sz w:val="15"/>
                <w:szCs w:val="15"/>
              </w:rPr>
              <w:t xml:space="preserve">Se propone que mejore la gestión del proceso (P1–P5). Relación no medida</w:t>
            </w:r>
          </w:p>
        </w:tc>
        <w:tc>
          <w:tcPr>
            <w:tcW w:w="3226" w:type="dxa"/>
          </w:tcPr>
          <w:p>
            <w:pPr>
              <w:spacing w:after="20" w:line="240" w:lineRule="auto"/>
              <w:jc w:val="left"/>
            </w:pPr>
            <w:r>
              <w:rPr>
                <w:sz w:val="15"/>
                <w:szCs w:val="15"/>
              </w:rPr>
              <w:t xml:space="preserve">TO-BE PROPUESTO</w:t>
            </w:r>
          </w:p>
        </w:tc>
      </w:tr>
      <w:tr>
        <w:trPr>
          <w:cantSplit/>
        </w:trPr>
        <w:tc>
          <w:tcPr>
            <w:tcW w:w="1612" w:type="dxa"/>
          </w:tcPr>
          <w:p>
            <w:pPr>
              <w:spacing w:after="20" w:line="240" w:lineRule="auto"/>
              <w:jc w:val="left"/>
            </w:pPr>
            <w:r>
              <w:rPr>
                <w:sz w:val="15"/>
                <w:szCs w:val="15"/>
              </w:rPr>
              <w:t xml:space="preserve">VIN-4</w:t>
            </w:r>
          </w:p>
        </w:tc>
        <w:tc>
          <w:tcPr>
            <w:tcW w:w="1612" w:type="dxa"/>
          </w:tcPr>
          <w:p>
            <w:pPr>
              <w:spacing w:after="20" w:line="240" w:lineRule="auto"/>
              <w:jc w:val="left"/>
            </w:pPr>
            <w:r>
              <w:rPr>
                <w:sz w:val="15"/>
                <w:szCs w:val="15"/>
              </w:rPr>
              <w:t xml:space="preserve">VD</w:t>
            </w:r>
          </w:p>
        </w:tc>
        <w:tc>
          <w:tcPr>
            <w:tcW w:w="6986" w:type="dxa"/>
          </w:tcPr>
          <w:p>
            <w:pPr>
              <w:spacing w:after="20" w:line="240" w:lineRule="auto"/>
              <w:jc w:val="left"/>
            </w:pPr>
            <w:r>
              <w:rPr>
                <w:sz w:val="15"/>
                <w:szCs w:val="15"/>
              </w:rPr>
              <w:t xml:space="preserve">Estima el riesgo de demora con indicadores de la variable dependiente</w:t>
            </w:r>
          </w:p>
        </w:tc>
        <w:tc>
          <w:tcPr>
            <w:tcW w:w="3226" w:type="dxa"/>
          </w:tcPr>
          <w:p>
            <w:pPr>
              <w:spacing w:after="20" w:line="240" w:lineRule="auto"/>
              <w:jc w:val="left"/>
            </w:pPr>
            <w:r>
              <w:rPr>
                <w:sz w:val="15"/>
                <w:szCs w:val="15"/>
              </w:rPr>
              <w:t xml:space="preserve">EXPERIMENTAL / PROPUESTO</w:t>
            </w:r>
          </w:p>
        </w:tc>
      </w:tr>
    </w:tbl>
    <w:p>
      <w:pPr>
        <w:spacing w:after="120"/>
      </w:pPr>
    </w:p>
    <w:p>
      <w:pPr>
        <w:spacing w:after="160" w:line="252" w:lineRule="auto"/>
        <w:jc w:val="left"/>
      </w:pPr>
      <w:r>
        <w:rPr>
          <w:i/>
          <w:iCs/>
          <w:sz w:val="16"/>
          <w:szCs w:val="16"/>
        </w:rPr>
        <w:t xml:space="preserve">La relación VI → VD es la hipótesis de trabajo del proyecto (TO-BE PROPUESTO). No hay línea base del AS-IS ni mediciones del TO-BE, así que no se afirma ningún efecto ni beneficio medido.</w:t>
      </w:r>
    </w:p>
    <w:p>
      <w:pPr>
        <w:keepNext/>
        <w:spacing w:after="80" w:line="252" w:lineRule="auto"/>
        <w:jc w:val="left"/>
      </w:pPr>
      <w:r>
        <w:rPr>
          <w:b/>
          <w:bCs/>
          <w:sz w:val="24"/>
          <w:szCs w:val="24"/>
        </w:rPr>
        <w:t xml:space="preserve">Anexo 1. Matriz de Operacionalización de Variables</w:t>
      </w:r>
    </w:p>
    <w:tbl>
      <w:tblPr>
        <w:tblStyle w:val="Tablaconcuadrcula"/>
        <w:tblW w:w="13436" w:type="dxa"/>
        <w:tblLayout w:type="fixed"/>
        <w:tblLook w:val="04A0" w:firstRow="1" w:lastRow="0" w:firstColumn="1" w:lastColumn="0" w:noHBand="0" w:noVBand="1"/>
      </w:tblPr>
      <w:tblGrid>
        <w:gridCol w:w="1343"/>
        <w:gridCol w:w="1746"/>
        <w:gridCol w:w="1746"/>
        <w:gridCol w:w="1343"/>
        <w:gridCol w:w="1477"/>
        <w:gridCol w:w="3224"/>
        <w:gridCol w:w="1343"/>
        <w:gridCol w:w="1214"/>
      </w:tblGrid>
      <w:tr>
        <w:trPr>
          <w:tblHeader/>
          <w:cantSplit/>
        </w:trPr>
        <w:tc>
          <w:tcPr>
            <w:tcW w:w="1343" w:type="dxa"/>
            <w:shd w:val="clear" w:color="auto" w:fill="D9E2F3"/>
          </w:tcPr>
          <w:p>
            <w:pPr>
              <w:spacing w:after="20" w:line="240" w:lineRule="auto"/>
              <w:jc w:val="left"/>
            </w:pPr>
            <w:r>
              <w:rPr>
                <w:b/>
                <w:bCs/>
                <w:sz w:val="13"/>
                <w:szCs w:val="13"/>
              </w:rPr>
              <w:t xml:space="preserve">Variable</w:t>
            </w:r>
          </w:p>
        </w:tc>
        <w:tc>
          <w:tcPr>
            <w:tcW w:w="1746" w:type="dxa"/>
            <w:shd w:val="clear" w:color="auto" w:fill="D9E2F3"/>
          </w:tcPr>
          <w:p>
            <w:pPr>
              <w:spacing w:after="20" w:line="240" w:lineRule="auto"/>
              <w:jc w:val="left"/>
            </w:pPr>
            <w:r>
              <w:rPr>
                <w:b/>
                <w:bCs/>
                <w:sz w:val="13"/>
                <w:szCs w:val="13"/>
              </w:rPr>
              <w:t xml:space="preserve">Definición conceptual</w:t>
            </w:r>
          </w:p>
        </w:tc>
        <w:tc>
          <w:tcPr>
            <w:tcW w:w="1746" w:type="dxa"/>
            <w:shd w:val="clear" w:color="auto" w:fill="D9E2F3"/>
          </w:tcPr>
          <w:p>
            <w:pPr>
              <w:spacing w:after="20" w:line="240" w:lineRule="auto"/>
              <w:jc w:val="left"/>
            </w:pPr>
            <w:r>
              <w:rPr>
                <w:b/>
                <w:bCs/>
                <w:sz w:val="13"/>
                <w:szCs w:val="13"/>
              </w:rPr>
              <w:t xml:space="preserve">Definición operacional</w:t>
            </w:r>
          </w:p>
        </w:tc>
        <w:tc>
          <w:tcPr>
            <w:tcW w:w="1343" w:type="dxa"/>
            <w:shd w:val="clear" w:color="auto" w:fill="D9E2F3"/>
          </w:tcPr>
          <w:p>
            <w:pPr>
              <w:spacing w:after="20" w:line="240" w:lineRule="auto"/>
              <w:jc w:val="left"/>
            </w:pPr>
            <w:r>
              <w:rPr>
                <w:b/>
                <w:bCs/>
                <w:sz w:val="13"/>
                <w:szCs w:val="13"/>
              </w:rPr>
              <w:t xml:space="preserve">Dimensión</w:t>
            </w:r>
          </w:p>
        </w:tc>
        <w:tc>
          <w:tcPr>
            <w:tcW w:w="1477" w:type="dxa"/>
            <w:shd w:val="clear" w:color="auto" w:fill="D9E2F3"/>
          </w:tcPr>
          <w:p>
            <w:pPr>
              <w:spacing w:after="20" w:line="240" w:lineRule="auto"/>
              <w:jc w:val="left"/>
            </w:pPr>
            <w:r>
              <w:rPr>
                <w:b/>
                <w:bCs/>
                <w:sz w:val="13"/>
                <w:szCs w:val="13"/>
              </w:rPr>
              <w:t xml:space="preserve">Indicador</w:t>
            </w:r>
          </w:p>
        </w:tc>
        <w:tc>
          <w:tcPr>
            <w:tcW w:w="3224" w:type="dxa"/>
            <w:shd w:val="clear" w:color="auto" w:fill="D9E2F3"/>
          </w:tcPr>
          <w:p>
            <w:pPr>
              <w:spacing w:after="20" w:line="240" w:lineRule="auto"/>
              <w:jc w:val="left"/>
            </w:pPr>
            <w:r>
              <w:rPr>
                <w:b/>
                <w:bCs/>
                <w:sz w:val="13"/>
                <w:szCs w:val="13"/>
              </w:rPr>
              <w:t xml:space="preserve">Ítem</w:t>
            </w:r>
          </w:p>
        </w:tc>
        <w:tc>
          <w:tcPr>
            <w:tcW w:w="1343" w:type="dxa"/>
            <w:shd w:val="clear" w:color="auto" w:fill="D9E2F3"/>
          </w:tcPr>
          <w:p>
            <w:pPr>
              <w:spacing w:after="20" w:line="240" w:lineRule="auto"/>
              <w:jc w:val="left"/>
            </w:pPr>
            <w:r>
              <w:rPr>
                <w:b/>
                <w:bCs/>
                <w:sz w:val="13"/>
                <w:szCs w:val="13"/>
              </w:rPr>
              <w:t xml:space="preserve">Instrumento</w:t>
            </w:r>
          </w:p>
        </w:tc>
        <w:tc>
          <w:tcPr>
            <w:tcW w:w="1214" w:type="dxa"/>
            <w:shd w:val="clear" w:color="auto" w:fill="D9E2F3"/>
          </w:tcPr>
          <w:p>
            <w:pPr>
              <w:spacing w:after="20" w:line="240" w:lineRule="auto"/>
              <w:jc w:val="left"/>
            </w:pPr>
            <w:r>
              <w:rPr>
                <w:b/>
                <w:bCs/>
                <w:sz w:val="13"/>
                <w:szCs w:val="13"/>
              </w:rPr>
              <w:t xml:space="preserve">Escala</w:t>
            </w:r>
          </w:p>
        </w:tc>
      </w:tr>
      <w:tr>
        <w:trPr>
          <w:cantSplit/>
        </w:trPr>
        <w:tc>
          <w:tcPr>
            <w:tcW w:w="1343" w:type="dxa"/>
            <w:vMerge w:val="restart"/>
          </w:tcPr>
          <w:p>
            <w:pPr>
              <w:spacing w:after="20" w:line="240" w:lineRule="auto"/>
              <w:jc w:val="left"/>
            </w:pPr>
            <w:r>
              <w:rPr>
                <w:sz w:val="13"/>
                <w:szCs w:val="13"/>
              </w:rPr>
              <w:t xml:space="preserve">VI — Plataforma SaaS multiempresa de reclutamiento, evaluación y selección de personal</w:t>
            </w:r>
          </w:p>
        </w:tc>
        <w:tc>
          <w:tcPr>
            <w:tcW w:w="1746" w:type="dxa"/>
            <w:vMerge w:val="restart"/>
          </w:tcPr>
          <w:p>
            <w:pPr>
              <w:spacing w:after="20" w:line="240" w:lineRule="auto"/>
              <w:jc w:val="left"/>
            </w:pPr>
            <w:r>
              <w:rPr>
                <w:sz w:val="13"/>
                <w:szCs w:val="13"/>
              </w:rPr>
              <w:t xml:space="preserve">Sistema de información web ofrecido como servicio a varias organizaciones, con los datos de cada una aislados, que registra, controla y documenta el ciclo de reclutamiento, evaluación y selección de personal y apoya —sin sustituirla— la decisión humana.</w:t>
            </w:r>
          </w:p>
        </w:tc>
        <w:tc>
          <w:tcPr>
            <w:tcW w:w="1746" w:type="dxa"/>
            <w:vMerge w:val="restart"/>
          </w:tcPr>
          <w:p>
            <w:pPr>
              <w:spacing w:after="20" w:line="240" w:lineRule="auto"/>
              <w:jc w:val="left"/>
            </w:pPr>
            <w:r>
              <w:rPr>
                <w:sz w:val="13"/>
                <w:szCs w:val="13"/>
              </w:rPr>
              <w:t xml:space="preserve">Se mide por la cobertura verificada de sus capacidades en cinco dimensiones (lista de cotejo contra la trazabilidad RF → prueba del repositorio) y por la utilidad que perciben sus usuarios internos (cuestionario Likert propuesto, todavía no aplicado).</w:t>
            </w:r>
          </w:p>
        </w:tc>
        <w:tc>
          <w:tcPr>
            <w:tcW w:w="1343" w:type="dxa"/>
            <w:vMerge w:val="restart"/>
          </w:tcPr>
          <w:p>
            <w:pPr>
              <w:spacing w:after="20" w:line="240" w:lineRule="auto"/>
              <w:jc w:val="left"/>
            </w:pPr>
            <w:r>
              <w:rPr>
                <w:sz w:val="13"/>
                <w:szCs w:val="13"/>
              </w:rPr>
              <w:t xml:space="preserve">VI-D1 Registro centralizado de la convocatoria (S-01)</w:t>
            </w:r>
          </w:p>
        </w:tc>
        <w:tc>
          <w:tcPr>
            <w:tcW w:w="1477" w:type="dxa"/>
          </w:tcPr>
          <w:p>
            <w:pPr>
              <w:spacing w:after="20" w:line="240" w:lineRule="auto"/>
              <w:jc w:val="left"/>
            </w:pPr>
            <w:r>
              <w:rPr>
                <w:sz w:val="13"/>
                <w:szCs w:val="13"/>
              </w:rPr>
              <w:t xml:space="preserve">VI-D1-I1 Cobertura funcional del registro único</w:t>
            </w:r>
          </w:p>
        </w:tc>
        <w:tc>
          <w:tcPr>
            <w:tcW w:w="3224" w:type="dxa"/>
          </w:tcPr>
          <w:p>
            <w:pPr>
              <w:spacing w:after="20" w:line="240" w:lineRule="auto"/>
              <w:jc w:val="left"/>
            </w:pPr>
            <w:r>
              <w:rPr>
                <w:sz w:val="13"/>
                <w:szCs w:val="13"/>
              </w:rPr>
              <w:t xml:space="preserve">• ¿Está implementado cada RF de la dimensión (RF-01, RF-05, RF-06, RF-09, RF-10 y RF-12)?</w:t>
            </w:r>
          </w:p>
          <w:p>
            <w:pPr>
              <w:spacing w:after="20" w:line="240" w:lineRule="auto"/>
              <w:jc w:val="left"/>
            </w:pPr>
            <w:r>
              <w:rPr>
                <w:sz w:val="13"/>
                <w:szCs w:val="13"/>
              </w:rPr>
              <w:t xml:space="preserve">• ¿Cada uno tiene al menos una prueba automatizada que lo verifica?</w:t>
            </w:r>
          </w:p>
          <w:p>
            <w:pPr>
              <w:spacing w:after="20" w:line="240" w:lineRule="auto"/>
              <w:jc w:val="left"/>
            </w:pPr>
            <w:r>
              <w:rPr>
                <w:sz w:val="13"/>
                <w:szCs w:val="13"/>
              </w:rPr>
              <w:t xml:space="preserve">• N.º de casos de uso de la dimensión soportados por la plataforma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 y razón (conteo)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VI-D1-I2 Utilidad percibida del registro único</w:t>
            </w:r>
          </w:p>
        </w:tc>
        <w:tc>
          <w:tcPr>
            <w:tcW w:w="3224" w:type="dxa"/>
          </w:tcPr>
          <w:p>
            <w:pPr>
              <w:spacing w:after="20" w:line="240" w:lineRule="auto"/>
              <w:jc w:val="left"/>
            </w:pPr>
            <w:r>
              <w:rPr>
                <w:sz w:val="13"/>
                <w:szCs w:val="13"/>
              </w:rPr>
              <w:t xml:space="preserve">• La plataforma reúne en un solo lugar la información de cada convocatoria</w:t>
            </w:r>
          </w:p>
          <w:p>
            <w:pPr>
              <w:spacing w:after="20" w:line="240" w:lineRule="auto"/>
              <w:jc w:val="left"/>
            </w:pPr>
            <w:r>
              <w:rPr>
                <w:sz w:val="13"/>
                <w:szCs w:val="13"/>
              </w:rPr>
              <w:t xml:space="preserve">• Encuentro el expediente del postulante sin recurrir a otros medios</w:t>
            </w:r>
          </w:p>
        </w:tc>
        <w:tc>
          <w:tcPr>
            <w:tcW w:w="1343" w:type="dxa"/>
          </w:tcPr>
          <w:p>
            <w:pPr>
              <w:spacing w:after="20" w:line="240" w:lineRule="auto"/>
              <w:jc w:val="left"/>
            </w:pPr>
            <w:r>
              <w:rPr>
                <w:sz w:val="13"/>
                <w:szCs w:val="13"/>
              </w:rPr>
              <w:t xml:space="preserve">Cuestionario Likert (RR. HH. y Área solicitante)</w:t>
            </w:r>
          </w:p>
        </w:tc>
        <w:tc>
          <w:tcPr>
            <w:tcW w:w="1214" w:type="dxa"/>
          </w:tcPr>
          <w:p>
            <w:pPr>
              <w:spacing w:after="20" w:line="240" w:lineRule="auto"/>
              <w:jc w:val="left"/>
            </w:pPr>
            <w:r>
              <w:rPr>
                <w:sz w:val="13"/>
                <w:szCs w:val="13"/>
              </w:rPr>
              <w:t xml:space="preserve">Ordinal (Likert 1–5)</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VI-D2 Control del flujo por estados e historial (S-02)</w:t>
            </w:r>
          </w:p>
        </w:tc>
        <w:tc>
          <w:tcPr>
            <w:tcW w:w="1477" w:type="dxa"/>
          </w:tcPr>
          <w:p>
            <w:pPr>
              <w:spacing w:after="20" w:line="240" w:lineRule="auto"/>
              <w:jc w:val="left"/>
            </w:pPr>
            <w:r>
              <w:rPr>
                <w:sz w:val="13"/>
                <w:szCs w:val="13"/>
              </w:rPr>
              <w:t xml:space="preserve">VI-D2-I1 Cobertura funcional del control por estados</w:t>
            </w:r>
          </w:p>
        </w:tc>
        <w:tc>
          <w:tcPr>
            <w:tcW w:w="3224" w:type="dxa"/>
          </w:tcPr>
          <w:p>
            <w:pPr>
              <w:spacing w:after="20" w:line="240" w:lineRule="auto"/>
              <w:jc w:val="left"/>
            </w:pPr>
            <w:r>
              <w:rPr>
                <w:sz w:val="13"/>
                <w:szCs w:val="13"/>
              </w:rPr>
              <w:t xml:space="preserve">• ¿Está implementado cada RF de la dimensión (RF-02, RF-03, RF-13, RF-14, RF-24 y RF-25)?</w:t>
            </w:r>
          </w:p>
          <w:p>
            <w:pPr>
              <w:spacing w:after="20" w:line="240" w:lineRule="auto"/>
              <w:jc w:val="left"/>
            </w:pPr>
            <w:r>
              <w:rPr>
                <w:sz w:val="13"/>
                <w:szCs w:val="13"/>
              </w:rPr>
              <w:t xml:space="preserve">• ¿Cada uno tiene al menos una prueba automatizada que lo verifica?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VI-D2-I2 Transiciones de estado controladas</w:t>
            </w:r>
          </w:p>
        </w:tc>
        <w:tc>
          <w:tcPr>
            <w:tcW w:w="3224" w:type="dxa"/>
          </w:tcPr>
          <w:p>
            <w:pPr>
              <w:spacing w:after="20" w:line="240" w:lineRule="auto"/>
              <w:jc w:val="left"/>
            </w:pPr>
            <w:r>
              <w:rPr>
                <w:sz w:val="13"/>
                <w:szCs w:val="13"/>
              </w:rPr>
              <w:t xml:space="preserve">• N.º de transiciones permitidas definidas para requerimiento, vacante y postulación</w:t>
            </w:r>
          </w:p>
          <w:p>
            <w:pPr>
              <w:spacing w:after="20" w:line="240" w:lineRule="auto"/>
              <w:jc w:val="left"/>
            </w:pPr>
            <w:r>
              <w:rPr>
                <w:sz w:val="13"/>
                <w:szCs w:val="13"/>
              </w:rPr>
              <w:t xml:space="preserve">• ¿Una transición no permitida se rechaza sin efectos?</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VI-D3 Evaluación estructurada y ranking de apoyo (S-03)</w:t>
            </w:r>
          </w:p>
        </w:tc>
        <w:tc>
          <w:tcPr>
            <w:tcW w:w="1477" w:type="dxa"/>
          </w:tcPr>
          <w:p>
            <w:pPr>
              <w:spacing w:after="20" w:line="240" w:lineRule="auto"/>
              <w:jc w:val="left"/>
            </w:pPr>
            <w:r>
              <w:rPr>
                <w:sz w:val="13"/>
                <w:szCs w:val="13"/>
              </w:rPr>
              <w:t xml:space="preserve">VI-D3-I1 Cobertura funcional de la evaluación estructurada</w:t>
            </w:r>
          </w:p>
        </w:tc>
        <w:tc>
          <w:tcPr>
            <w:tcW w:w="3224" w:type="dxa"/>
          </w:tcPr>
          <w:p>
            <w:pPr>
              <w:spacing w:after="20" w:line="240" w:lineRule="auto"/>
              <w:jc w:val="left"/>
            </w:pPr>
            <w:r>
              <w:rPr>
                <w:sz w:val="13"/>
                <w:szCs w:val="13"/>
              </w:rPr>
              <w:t xml:space="preserve">• ¿Está implementado cada RF de la dimensión (RF-16 a RF-22)?</w:t>
            </w:r>
          </w:p>
          <w:p>
            <w:pPr>
              <w:spacing w:after="20" w:line="240" w:lineRule="auto"/>
              <w:jc w:val="left"/>
            </w:pPr>
            <w:r>
              <w:rPr>
                <w:sz w:val="13"/>
                <w:szCs w:val="13"/>
              </w:rPr>
              <w:t xml:space="preserve">• ¿Cada uno tiene al menos una prueba automatizada que lo verifica?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VI-D3-I2 Ranking explicable y no decisorio</w:t>
            </w:r>
          </w:p>
        </w:tc>
        <w:tc>
          <w:tcPr>
            <w:tcW w:w="3224" w:type="dxa"/>
          </w:tcPr>
          <w:p>
            <w:pPr>
              <w:spacing w:after="20" w:line="240" w:lineRule="auto"/>
              <w:jc w:val="left"/>
            </w:pPr>
            <w:r>
              <w:rPr>
                <w:sz w:val="13"/>
                <w:szCs w:val="13"/>
              </w:rPr>
              <w:t xml:space="preserve">• ¿El ranking muestra el desglose del puntaje por criterio?</w:t>
            </w:r>
          </w:p>
          <w:p>
            <w:pPr>
              <w:spacing w:after="20" w:line="240" w:lineRule="auto"/>
              <w:jc w:val="left"/>
            </w:pPr>
            <w:r>
              <w:rPr>
                <w:sz w:val="13"/>
                <w:szCs w:val="13"/>
              </w:rPr>
              <w:t xml:space="preserve">• ¿El ranking cambia el estado de alguna postulación? (esperado: No)</w:t>
            </w:r>
          </w:p>
          <w:p>
            <w:pPr>
              <w:spacing w:after="20" w:line="240" w:lineRule="auto"/>
              <w:jc w:val="left"/>
            </w:pPr>
            <w:r>
              <w:rPr>
                <w:sz w:val="13"/>
                <w:szCs w:val="13"/>
              </w:rPr>
              <w:t xml:space="preserve">• ¿Se señalan los empates y los candidatos con evaluación incompleta?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VI-D4 Comunicación automática (S-04)</w:t>
            </w:r>
          </w:p>
        </w:tc>
        <w:tc>
          <w:tcPr>
            <w:tcW w:w="1477" w:type="dxa"/>
          </w:tcPr>
          <w:p>
            <w:pPr>
              <w:spacing w:after="20" w:line="240" w:lineRule="auto"/>
              <w:jc w:val="left"/>
            </w:pPr>
            <w:r>
              <w:rPr>
                <w:sz w:val="13"/>
                <w:szCs w:val="13"/>
              </w:rPr>
              <w:t xml:space="preserve">VI-D4-I1 Cobertura funcional de las notificaciones</w:t>
            </w:r>
          </w:p>
        </w:tc>
        <w:tc>
          <w:tcPr>
            <w:tcW w:w="3224" w:type="dxa"/>
          </w:tcPr>
          <w:p>
            <w:pPr>
              <w:spacing w:after="20" w:line="240" w:lineRule="auto"/>
              <w:jc w:val="left"/>
            </w:pPr>
            <w:r>
              <w:rPr>
                <w:sz w:val="13"/>
                <w:szCs w:val="13"/>
              </w:rPr>
              <w:t xml:space="preserve">• ¿Está implementado cada RF de la dimensión (RF-04, RF-11, RF-15, RF-17 y RF-26)?</w:t>
            </w:r>
          </w:p>
          <w:p>
            <w:pPr>
              <w:spacing w:after="20" w:line="240" w:lineRule="auto"/>
              <w:jc w:val="left"/>
            </w:pPr>
            <w:r>
              <w:rPr>
                <w:sz w:val="13"/>
                <w:szCs w:val="13"/>
              </w:rPr>
              <w:t xml:space="preserve">• ¿Cada uno tiene al menos una prueba automatizada que lo verifica?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VI-D4-I2 Eventos clave notificados automáticamente</w:t>
            </w:r>
          </w:p>
        </w:tc>
        <w:tc>
          <w:tcPr>
            <w:tcW w:w="3224" w:type="dxa"/>
          </w:tcPr>
          <w:p>
            <w:pPr>
              <w:spacing w:after="20" w:line="240" w:lineRule="auto"/>
              <w:jc w:val="left"/>
            </w:pPr>
            <w:r>
              <w:rPr>
                <w:sz w:val="13"/>
                <w:szCs w:val="13"/>
              </w:rPr>
              <w:t xml:space="preserve">• N.º de tipos de evento con notificación automática (rechazo, recepción, cambio de etapa, convocatoria y resultado)</w:t>
            </w:r>
          </w:p>
          <w:p>
            <w:pPr>
              <w:spacing w:after="20" w:line="240" w:lineRule="auto"/>
              <w:jc w:val="left"/>
            </w:pPr>
            <w:r>
              <w:rPr>
                <w:sz w:val="13"/>
                <w:szCs w:val="13"/>
              </w:rPr>
              <w:t xml:space="preserve">• ¿La notificación se encola y se envía después de confirmar la operación?</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VI-D5 Decisión humana, trazabilidad y seguridad (S-05)</w:t>
            </w:r>
          </w:p>
        </w:tc>
        <w:tc>
          <w:tcPr>
            <w:tcW w:w="1477" w:type="dxa"/>
          </w:tcPr>
          <w:p>
            <w:pPr>
              <w:spacing w:after="20" w:line="240" w:lineRule="auto"/>
              <w:jc w:val="left"/>
            </w:pPr>
            <w:r>
              <w:rPr>
                <w:sz w:val="13"/>
                <w:szCs w:val="13"/>
              </w:rPr>
              <w:t xml:space="preserve">VI-D5-I1 Decisión final humana</w:t>
            </w:r>
          </w:p>
        </w:tc>
        <w:tc>
          <w:tcPr>
            <w:tcW w:w="3224" w:type="dxa"/>
          </w:tcPr>
          <w:p>
            <w:pPr>
              <w:spacing w:after="20" w:line="240" w:lineRule="auto"/>
              <w:jc w:val="left"/>
            </w:pPr>
            <w:r>
              <w:rPr>
                <w:sz w:val="13"/>
                <w:szCs w:val="13"/>
              </w:rPr>
              <w:t xml:space="preserve">• ¿Solo el Aprobador / Dirección puede registrar la decisión final?</w:t>
            </w:r>
          </w:p>
          <w:p>
            <w:pPr>
              <w:spacing w:after="20" w:line="240" w:lineRule="auto"/>
              <w:jc w:val="left"/>
            </w:pPr>
            <w:r>
              <w:rPr>
                <w:sz w:val="13"/>
                <w:szCs w:val="13"/>
              </w:rPr>
              <w:t xml:space="preserve">• ¿La decisión exige confirmación explícita y justificación?</w:t>
            </w:r>
          </w:p>
          <w:p>
            <w:pPr>
              <w:spacing w:after="20" w:line="240" w:lineRule="auto"/>
              <w:jc w:val="left"/>
            </w:pPr>
            <w:r>
              <w:rPr>
                <w:sz w:val="13"/>
                <w:szCs w:val="13"/>
              </w:rPr>
              <w:t xml:space="preserve">• ¿Se admite una sola decisión por vacante?</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VI-D5-I2 Acceso, trazabilidad y aislamiento de los datos</w:t>
            </w:r>
          </w:p>
        </w:tc>
        <w:tc>
          <w:tcPr>
            <w:tcW w:w="3224" w:type="dxa"/>
          </w:tcPr>
          <w:p>
            <w:pPr>
              <w:spacing w:after="20" w:line="240" w:lineRule="auto"/>
              <w:jc w:val="left"/>
            </w:pPr>
            <w:r>
              <w:rPr>
                <w:sz w:val="13"/>
                <w:szCs w:val="13"/>
              </w:rPr>
              <w:t xml:space="preserve">• ¿Todo acceso exige cuenta propia e inicio de sesión (cuenta del postulante: RF-08)?</w:t>
            </w:r>
          </w:p>
          <w:p>
            <w:pPr>
              <w:spacing w:after="20" w:line="240" w:lineRule="auto"/>
              <w:jc w:val="left"/>
            </w:pPr>
            <w:r>
              <w:rPr>
                <w:sz w:val="13"/>
                <w:szCs w:val="13"/>
              </w:rPr>
              <w:t xml:space="preserve">• N.º de acciones de negocio auditadas (AuditAction)</w:t>
            </w:r>
          </w:p>
          <w:p>
            <w:pPr>
              <w:spacing w:after="20" w:line="240" w:lineRule="auto"/>
              <w:jc w:val="left"/>
            </w:pPr>
            <w:r>
              <w:rPr>
                <w:sz w:val="13"/>
                <w:szCs w:val="13"/>
              </w:rPr>
              <w:t xml:space="preserve">• ¿El registro de auditoría es de solo inserción?</w:t>
            </w:r>
          </w:p>
          <w:p>
            <w:pPr>
              <w:spacing w:after="20" w:line="240" w:lineRule="auto"/>
              <w:jc w:val="left"/>
            </w:pPr>
            <w:r>
              <w:rPr>
                <w:sz w:val="13"/>
                <w:szCs w:val="13"/>
              </w:rPr>
              <w:t xml:space="preserve">• ¿El acceso a datos de otra organización se rechaza sin efectos (403 o 404)?</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val="restart"/>
          </w:tcPr>
          <w:p>
            <w:pPr>
              <w:spacing w:after="20" w:line="240" w:lineRule="auto"/>
              <w:jc w:val="left"/>
            </w:pPr>
            <w:r>
              <w:rPr>
                <w:sz w:val="13"/>
                <w:szCs w:val="13"/>
              </w:rPr>
              <w:t xml:space="preserve">VD — Gestión del proceso de reclutamiento, evaluación y selección de personal</w:t>
            </w:r>
          </w:p>
        </w:tc>
        <w:tc>
          <w:tcPr>
            <w:tcW w:w="1746" w:type="dxa"/>
            <w:vMerge w:val="restart"/>
          </w:tcPr>
          <w:p>
            <w:pPr>
              <w:spacing w:after="20" w:line="240" w:lineRule="auto"/>
              <w:jc w:val="left"/>
            </w:pPr>
            <w:r>
              <w:rPr>
                <w:sz w:val="13"/>
                <w:szCs w:val="13"/>
              </w:rPr>
              <w:t xml:space="preserve">Conjunto de actividades con que la organización cubre una necesidad de personal, desde el requerimiento del área hasta la comunicación del resultado. En el caso de estudio presenta cinco problemas (P1 a P5): información distribuida, seguimiento manual, evaluaciones heterogéneas, comunicación manual e indicadores limitados. Es un AS-IS preliminar, sin validación institucional.</w:t>
            </w:r>
          </w:p>
        </w:tc>
        <w:tc>
          <w:tcPr>
            <w:tcW w:w="1746" w:type="dxa"/>
            <w:vMerge w:val="restart"/>
          </w:tcPr>
          <w:p>
            <w:pPr>
              <w:spacing w:after="20" w:line="240" w:lineRule="auto"/>
              <w:jc w:val="left"/>
            </w:pPr>
            <w:r>
              <w:rPr>
                <w:sz w:val="13"/>
                <w:szCs w:val="13"/>
              </w:rPr>
              <w:t xml:space="preserve">Se mide en cinco dimensiones, una por problema, con indicadores obtenidos de los registros de la plataforma (ficha de observación), listas de cotejo y un cuestionario Likert a RR. HH. y al Aprobador / Dirección. No hay línea base medida del AS-IS: los indicadores quedan definidos para medir el TO-BE. Los indicadores de avance, oportunidad, carga y evaluación contienen las 15 variables operacionales que usa el componente experimental RF-29 (la guía pide que los indicadores de la variable dependiente sean los de la predicción).</w:t>
            </w:r>
          </w:p>
        </w:tc>
        <w:tc>
          <w:tcPr>
            <w:tcW w:w="1343" w:type="dxa"/>
            <w:vMerge w:val="restart"/>
          </w:tcPr>
          <w:p>
            <w:pPr>
              <w:spacing w:after="20" w:line="240" w:lineRule="auto"/>
              <w:jc w:val="left"/>
            </w:pPr>
            <w:r>
              <w:rPr>
                <w:sz w:val="13"/>
                <w:szCs w:val="13"/>
              </w:rPr>
              <w:t xml:space="preserve">VD-D1 Centralización de la información (P1; OM-01)</w:t>
            </w:r>
          </w:p>
        </w:tc>
        <w:tc>
          <w:tcPr>
            <w:tcW w:w="1477" w:type="dxa"/>
          </w:tcPr>
          <w:p>
            <w:pPr>
              <w:spacing w:after="20" w:line="240" w:lineRule="auto"/>
              <w:jc w:val="left"/>
            </w:pPr>
            <w:r>
              <w:rPr>
                <w:sz w:val="13"/>
                <w:szCs w:val="13"/>
              </w:rPr>
              <w:t xml:space="preserve">VD-D1-I1 Completitud del expediente</w:t>
            </w:r>
          </w:p>
        </w:tc>
        <w:tc>
          <w:tcPr>
            <w:tcW w:w="3224" w:type="dxa"/>
          </w:tcPr>
          <w:p>
            <w:pPr>
              <w:spacing w:after="20" w:line="240" w:lineRule="auto"/>
              <w:jc w:val="left"/>
            </w:pPr>
            <w:r>
              <w:rPr>
                <w:sz w:val="13"/>
                <w:szCs w:val="13"/>
              </w:rPr>
              <w:t xml:space="preserve">• % de postulaciones con perfil completo y CV vigente</w:t>
            </w:r>
          </w:p>
          <w:p>
            <w:pPr>
              <w:spacing w:after="20" w:line="240" w:lineRule="auto"/>
              <w:jc w:val="left"/>
            </w:pPr>
            <w:r>
              <w:rPr>
                <w:sz w:val="13"/>
                <w:szCs w:val="13"/>
              </w:rPr>
              <w:t xml:space="preserve">• N.º de convocatorias con requerimiento aprobado, vacante y criterios vinculados</w:t>
            </w:r>
          </w:p>
          <w:p>
            <w:pPr>
              <w:spacing w:after="20" w:line="240" w:lineRule="auto"/>
              <w:jc w:val="left"/>
            </w:pPr>
            <w:r>
              <w:rPr>
                <w:sz w:val="13"/>
                <w:szCs w:val="13"/>
              </w:rPr>
              <w:t xml:space="preserve">• N.º de postulaciones recibidas por vacante (ML-FEAT-05)</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VD-D1-I2 Dispersión de la información del proceso</w:t>
            </w:r>
          </w:p>
        </w:tc>
        <w:tc>
          <w:tcPr>
            <w:tcW w:w="3224" w:type="dxa"/>
          </w:tcPr>
          <w:p>
            <w:pPr>
              <w:spacing w:after="20" w:line="240" w:lineRule="auto"/>
              <w:jc w:val="left"/>
            </w:pPr>
            <w:r>
              <w:rPr>
                <w:sz w:val="13"/>
                <w:szCs w:val="13"/>
              </w:rPr>
              <w:t xml:space="preserve">• N.º de documentos del proceso que se gestionan fuera de la plataforma</w:t>
            </w:r>
          </w:p>
          <w:p>
            <w:pPr>
              <w:spacing w:after="20" w:line="240" w:lineRule="auto"/>
              <w:jc w:val="left"/>
            </w:pPr>
            <w:r>
              <w:rPr>
                <w:sz w:val="13"/>
                <w:szCs w:val="13"/>
              </w:rPr>
              <w:t xml:space="preserve">• La información de una convocatoria está disponible en un solo lugar</w:t>
            </w:r>
          </w:p>
        </w:tc>
        <w:tc>
          <w:tcPr>
            <w:tcW w:w="1343" w:type="dxa"/>
          </w:tcPr>
          <w:p>
            <w:pPr>
              <w:spacing w:after="20" w:line="240" w:lineRule="auto"/>
              <w:jc w:val="left"/>
            </w:pPr>
            <w:r>
              <w:rPr>
                <w:sz w:val="13"/>
                <w:szCs w:val="13"/>
              </w:rPr>
              <w:t xml:space="preserve">Lista de cotejo y Cuestionario Likert (RR. HH.)</w:t>
            </w:r>
          </w:p>
        </w:tc>
        <w:tc>
          <w:tcPr>
            <w:tcW w:w="1214" w:type="dxa"/>
          </w:tcPr>
          <w:p>
            <w:pPr>
              <w:spacing w:after="20" w:line="240" w:lineRule="auto"/>
              <w:jc w:val="left"/>
            </w:pPr>
            <w:r>
              <w:rPr>
                <w:sz w:val="13"/>
                <w:szCs w:val="13"/>
              </w:rPr>
              <w:t xml:space="preserve">Razón (conteo) y ordinal (Likert 1–5)</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VD-D2 Seguimiento y oportunidad del proceso (P2; OM-02)</w:t>
            </w:r>
          </w:p>
        </w:tc>
        <w:tc>
          <w:tcPr>
            <w:tcW w:w="1477" w:type="dxa"/>
          </w:tcPr>
          <w:p>
            <w:pPr>
              <w:spacing w:after="20" w:line="240" w:lineRule="auto"/>
              <w:jc w:val="left"/>
            </w:pPr>
            <w:r>
              <w:rPr>
                <w:sz w:val="13"/>
                <w:szCs w:val="13"/>
              </w:rPr>
              <w:t xml:space="preserve">VD-D2-I1 Trazabilidad del avance</w:t>
            </w:r>
          </w:p>
        </w:tc>
        <w:tc>
          <w:tcPr>
            <w:tcW w:w="3224" w:type="dxa"/>
          </w:tcPr>
          <w:p>
            <w:pPr>
              <w:spacing w:after="20" w:line="240" w:lineRule="auto"/>
              <w:jc w:val="left"/>
            </w:pPr>
            <w:r>
              <w:rPr>
                <w:sz w:val="13"/>
                <w:szCs w:val="13"/>
              </w:rPr>
              <w:t xml:space="preserve">• % de cambios de etapa con autor y fecha en el historial</w:t>
            </w:r>
          </w:p>
          <w:p>
            <w:pPr>
              <w:spacing w:after="20" w:line="240" w:lineRule="auto"/>
              <w:jc w:val="left"/>
            </w:pPr>
            <w:r>
              <w:rPr>
                <w:sz w:val="13"/>
                <w:szCs w:val="13"/>
              </w:rPr>
              <w:t xml:space="preserve">• N.º de cambios de etapa registrados (ML-FEAT-16)</w:t>
            </w:r>
          </w:p>
          <w:p>
            <w:pPr>
              <w:spacing w:after="20" w:line="240" w:lineRule="auto"/>
              <w:jc w:val="left"/>
            </w:pPr>
            <w:r>
              <w:rPr>
                <w:sz w:val="13"/>
                <w:szCs w:val="13"/>
              </w:rPr>
              <w:t xml:space="preserve">• N.º de postulaciones sin estado actual</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VD-D2-I2 Oportunidad del proceso respecto de su plazo objetivo</w:t>
            </w:r>
          </w:p>
        </w:tc>
        <w:tc>
          <w:tcPr>
            <w:tcW w:w="3224" w:type="dxa"/>
          </w:tcPr>
          <w:p>
            <w:pPr>
              <w:spacing w:after="20" w:line="240" w:lineRule="auto"/>
              <w:jc w:val="left"/>
            </w:pPr>
            <w:r>
              <w:rPr>
                <w:sz w:val="13"/>
                <w:szCs w:val="13"/>
              </w:rPr>
              <w:t xml:space="preserve">• Días transcurridos desde la publicación de la vacante (ML-FEAT-01)</w:t>
            </w:r>
          </w:p>
          <w:p>
            <w:pPr>
              <w:spacing w:after="20" w:line="240" w:lineRule="auto"/>
              <w:jc w:val="left"/>
            </w:pPr>
            <w:r>
              <w:rPr>
                <w:sz w:val="13"/>
                <w:szCs w:val="13"/>
              </w:rPr>
              <w:t xml:space="preserve">• Días restantes hasta el plazo objetivo del proceso (ML-FEAT-02)</w:t>
            </w:r>
          </w:p>
          <w:p>
            <w:pPr>
              <w:spacing w:after="20" w:line="240" w:lineRule="auto"/>
              <w:jc w:val="left"/>
            </w:pPr>
            <w:r>
              <w:rPr>
                <w:sz w:val="13"/>
                <w:szCs w:val="13"/>
              </w:rPr>
              <w:t xml:space="preserve">• Días desde el último evento operacional del proceso (ML-FEAT-17)</w:t>
            </w:r>
          </w:p>
          <w:p>
            <w:pPr>
              <w:spacing w:after="20" w:line="240" w:lineRule="auto"/>
              <w:jc w:val="left"/>
            </w:pPr>
            <w:r>
              <w:rPr>
                <w:sz w:val="13"/>
                <w:szCs w:val="13"/>
              </w:rPr>
              <w:t xml:space="preserve">• ¿El proceso cerró después de su plazo objetivo? (etiqueta del modelo experimental RF-29)</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(días) y 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VD-D2-I3 Carga y configuración del proceso</w:t>
            </w:r>
          </w:p>
        </w:tc>
        <w:tc>
          <w:tcPr>
            <w:tcW w:w="3224" w:type="dxa"/>
          </w:tcPr>
          <w:p>
            <w:pPr>
              <w:spacing w:after="20" w:line="240" w:lineRule="auto"/>
              <w:jc w:val="left"/>
            </w:pPr>
            <w:r>
              <w:rPr>
                <w:sz w:val="13"/>
                <w:szCs w:val="13"/>
              </w:rPr>
              <w:t xml:space="preserve">• Días de la ventana de postulación de la vacante (ML-FEAT-03)</w:t>
            </w:r>
          </w:p>
          <w:p>
            <w:pPr>
              <w:spacing w:after="20" w:line="240" w:lineRule="auto"/>
              <w:jc w:val="left"/>
            </w:pPr>
            <w:r>
              <w:rPr>
                <w:sz w:val="13"/>
                <w:szCs w:val="13"/>
              </w:rPr>
              <w:t xml:space="preserve">• N.º de plazas de la vacante (ML-FEAT-04)</w:t>
            </w:r>
          </w:p>
          <w:p>
            <w:pPr>
              <w:spacing w:after="20" w:line="240" w:lineRule="auto"/>
              <w:jc w:val="left"/>
            </w:pPr>
            <w:r>
              <w:rPr>
                <w:sz w:val="13"/>
                <w:szCs w:val="13"/>
              </w:rPr>
              <w:t xml:space="preserve">• N.º de vacantes de la organización abiertas en paralelo (ML-FEAT-18)</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VD-D3 Uniformidad de la evaluación (P3; OM-03)</w:t>
            </w:r>
          </w:p>
        </w:tc>
        <w:tc>
          <w:tcPr>
            <w:tcW w:w="1477" w:type="dxa"/>
          </w:tcPr>
          <w:p>
            <w:pPr>
              <w:spacing w:after="20" w:line="240" w:lineRule="auto"/>
              <w:jc w:val="left"/>
            </w:pPr>
            <w:r>
              <w:rPr>
                <w:sz w:val="13"/>
                <w:szCs w:val="13"/>
              </w:rPr>
              <w:t xml:space="preserve">VD-D3-I1 Evaluación con criterios comunes</w:t>
            </w:r>
          </w:p>
        </w:tc>
        <w:tc>
          <w:tcPr>
            <w:tcW w:w="3224" w:type="dxa"/>
          </w:tcPr>
          <w:p>
            <w:pPr>
              <w:spacing w:after="20" w:line="240" w:lineRule="auto"/>
              <w:jc w:val="left"/>
            </w:pPr>
            <w:r>
              <w:rPr>
                <w:sz w:val="13"/>
                <w:szCs w:val="13"/>
              </w:rPr>
              <w:t xml:space="preserve">• % de evaluaciones con puntaje en todos los criterios de la vacante</w:t>
            </w:r>
          </w:p>
          <w:p>
            <w:pPr>
              <w:spacing w:after="20" w:line="240" w:lineRule="auto"/>
              <w:jc w:val="left"/>
            </w:pPr>
            <w:r>
              <w:rPr>
                <w:sz w:val="13"/>
                <w:szCs w:val="13"/>
              </w:rPr>
              <w:t xml:space="preserve">• N.º de criterios ponderados configurados por vacante (ML-FEAT-06)</w:t>
            </w:r>
          </w:p>
          <w:p>
            <w:pPr>
              <w:spacing w:after="20" w:line="240" w:lineRule="auto"/>
              <w:jc w:val="left"/>
            </w:pPr>
            <w:r>
              <w:rPr>
                <w:sz w:val="13"/>
                <w:szCs w:val="13"/>
              </w:rPr>
              <w:t xml:space="preserve">• N.º de puntajes rechazados por estar fuera de rango</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VD-D3-I2 Avance de evaluaciones y entrevistas</w:t>
            </w:r>
          </w:p>
        </w:tc>
        <w:tc>
          <w:tcPr>
            <w:tcW w:w="3224" w:type="dxa"/>
          </w:tcPr>
          <w:p>
            <w:pPr>
              <w:spacing w:after="20" w:line="240" w:lineRule="auto"/>
              <w:jc w:val="left"/>
            </w:pPr>
            <w:r>
              <w:rPr>
                <w:sz w:val="13"/>
                <w:szCs w:val="13"/>
              </w:rPr>
              <w:t xml:space="preserve">• Evaluaciones programadas, realizadas y vencidas pendientes (ML-FEAT-08, ML-FEAT-09 y ML-FEAT-11)</w:t>
            </w:r>
          </w:p>
          <w:p>
            <w:pPr>
              <w:spacing w:after="20" w:line="240" w:lineRule="auto"/>
              <w:jc w:val="left"/>
            </w:pPr>
            <w:r>
              <w:rPr>
                <w:sz w:val="13"/>
                <w:szCs w:val="13"/>
              </w:rPr>
              <w:t xml:space="preserve">• Entrevistas programadas, realizadas y vencidas pendientes (ML-FEAT-12, ML-FEAT-13 y ML-FEAT-15)</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VD-D4 Comunicación con los postulantes (P4; OM-04)</w:t>
            </w:r>
          </w:p>
        </w:tc>
        <w:tc>
          <w:tcPr>
            <w:tcW w:w="1477" w:type="dxa"/>
          </w:tcPr>
          <w:p>
            <w:pPr>
              <w:spacing w:after="20" w:line="240" w:lineRule="auto"/>
              <w:jc w:val="left"/>
            </w:pPr>
            <w:r>
              <w:rPr>
                <w:sz w:val="13"/>
                <w:szCs w:val="13"/>
              </w:rPr>
              <w:t xml:space="preserve">VD-D4-I1 Cobertura de los avisos del proceso</w:t>
            </w:r>
          </w:p>
        </w:tc>
        <w:tc>
          <w:tcPr>
            <w:tcW w:w="3224" w:type="dxa"/>
          </w:tcPr>
          <w:p>
            <w:pPr>
              <w:spacing w:after="20" w:line="240" w:lineRule="auto"/>
              <w:jc w:val="left"/>
            </w:pPr>
            <w:r>
              <w:rPr>
                <w:sz w:val="13"/>
                <w:szCs w:val="13"/>
              </w:rPr>
              <w:t xml:space="preserve">• % de cambios de etapa con notificación generada</w:t>
            </w:r>
          </w:p>
          <w:p>
            <w:pPr>
              <w:spacing w:after="20" w:line="240" w:lineRule="auto"/>
              <w:jc w:val="left"/>
            </w:pPr>
            <w:r>
              <w:rPr>
                <w:sz w:val="13"/>
                <w:szCs w:val="13"/>
              </w:rPr>
              <w:t xml:space="preserve">• N.º de postulantes sin aviso de resultado al cerrar la convocatoria</w:t>
            </w:r>
          </w:p>
          <w:p>
            <w:pPr>
              <w:spacing w:after="20" w:line="240" w:lineRule="auto"/>
              <w:jc w:val="left"/>
            </w:pPr>
            <w:r>
              <w:rPr>
                <w:sz w:val="13"/>
                <w:szCs w:val="13"/>
              </w:rPr>
              <w:t xml:space="preserve">• N.º de sesiones de evaluación o entrevista convocadas con aviso</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VD-D4-I2 Dependencia de avisos manuales</w:t>
            </w:r>
          </w:p>
        </w:tc>
        <w:tc>
          <w:tcPr>
            <w:tcW w:w="3224" w:type="dxa"/>
          </w:tcPr>
          <w:p>
            <w:pPr>
              <w:spacing w:after="20" w:line="240" w:lineRule="auto"/>
              <w:jc w:val="left"/>
            </w:pPr>
            <w:r>
              <w:rPr>
                <w:sz w:val="13"/>
                <w:szCs w:val="13"/>
              </w:rPr>
              <w:t xml:space="preserve">• Los postulantes reciben su resultado sin gestiones manuales de RR. HH.</w:t>
            </w:r>
          </w:p>
          <w:p>
            <w:pPr>
              <w:spacing w:after="20" w:line="240" w:lineRule="auto"/>
              <w:jc w:val="left"/>
            </w:pPr>
            <w:r>
              <w:rPr>
                <w:sz w:val="13"/>
                <w:szCs w:val="13"/>
              </w:rPr>
              <w:t xml:space="preserve">• Cada etapa del proceso genera su aviso sin intervención adicional</w:t>
            </w:r>
          </w:p>
        </w:tc>
        <w:tc>
          <w:tcPr>
            <w:tcW w:w="1343" w:type="dxa"/>
          </w:tcPr>
          <w:p>
            <w:pPr>
              <w:spacing w:after="20" w:line="240" w:lineRule="auto"/>
              <w:jc w:val="left"/>
            </w:pPr>
            <w:r>
              <w:rPr>
                <w:sz w:val="13"/>
                <w:szCs w:val="13"/>
              </w:rPr>
              <w:t xml:space="preserve">Cuestionario Likert (RR. HH.)</w:t>
            </w:r>
          </w:p>
        </w:tc>
        <w:tc>
          <w:tcPr>
            <w:tcW w:w="1214" w:type="dxa"/>
          </w:tcPr>
          <w:p>
            <w:pPr>
              <w:spacing w:after="20" w:line="240" w:lineRule="auto"/>
              <w:jc w:val="left"/>
            </w:pPr>
            <w:r>
              <w:rPr>
                <w:sz w:val="13"/>
                <w:szCs w:val="13"/>
              </w:rPr>
              <w:t xml:space="preserve">Ordinal (Likert 1–5)</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VD-D5 Sustento y trazabilidad de la decisión (P5; OM-05)</w:t>
            </w:r>
          </w:p>
        </w:tc>
        <w:tc>
          <w:tcPr>
            <w:tcW w:w="1477" w:type="dxa"/>
          </w:tcPr>
          <w:p>
            <w:pPr>
              <w:spacing w:after="20" w:line="240" w:lineRule="auto"/>
              <w:jc w:val="left"/>
            </w:pPr>
            <w:r>
              <w:rPr>
                <w:sz w:val="13"/>
                <w:szCs w:val="13"/>
              </w:rPr>
              <w:t xml:space="preserve">VD-D5-I1 Decisión final documentada</w:t>
            </w:r>
          </w:p>
        </w:tc>
        <w:tc>
          <w:tcPr>
            <w:tcW w:w="3224" w:type="dxa"/>
          </w:tcPr>
          <w:p>
            <w:pPr>
              <w:spacing w:after="20" w:line="240" w:lineRule="auto"/>
              <w:jc w:val="left"/>
            </w:pPr>
            <w:r>
              <w:rPr>
                <w:sz w:val="13"/>
                <w:szCs w:val="13"/>
              </w:rPr>
              <w:t xml:space="preserve">• % de vacantes cerradas con decisión humana registrada y justificada</w:t>
            </w:r>
          </w:p>
          <w:p>
            <w:pPr>
              <w:spacing w:after="20" w:line="240" w:lineRule="auto"/>
              <w:jc w:val="left"/>
            </w:pPr>
            <w:r>
              <w:rPr>
                <w:sz w:val="13"/>
                <w:szCs w:val="13"/>
              </w:rPr>
              <w:t xml:space="preserve">• % de decisiones con la instantánea del ranking guardada</w:t>
            </w:r>
          </w:p>
          <w:p>
            <w:pPr>
              <w:spacing w:after="20" w:line="240" w:lineRule="auto"/>
              <w:jc w:val="left"/>
            </w:pPr>
            <w:r>
              <w:rPr>
                <w:sz w:val="13"/>
                <w:szCs w:val="13"/>
              </w:rPr>
              <w:t xml:space="preserve">• N.º de acciones críticas registradas en la auditoría por convocatoria</w:t>
            </w:r>
          </w:p>
        </w:tc>
        <w:tc>
          <w:tcPr>
            <w:tcW w:w="1343" w:type="dxa"/>
          </w:tcPr>
          <w:p>
            <w:pPr>
              <w:spacing w:after="20" w:line="240" w:lineRule="auto"/>
              <w:jc w:val="left"/>
            </w:pPr>
            <w:r>
              <w:rPr>
                <w:sz w:val="13"/>
                <w:szCs w:val="13"/>
              </w:rPr>
              <w:t xml:space="preserve">Ficha de observación (registros de la plataforma)</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VD-D5-I2 Transparencia percibida de la comparación</w:t>
            </w:r>
          </w:p>
        </w:tc>
        <w:tc>
          <w:tcPr>
            <w:tcW w:w="3224" w:type="dxa"/>
          </w:tcPr>
          <w:p>
            <w:pPr>
              <w:spacing w:after="20" w:line="240" w:lineRule="auto"/>
              <w:jc w:val="left"/>
            </w:pPr>
            <w:r>
              <w:rPr>
                <w:sz w:val="13"/>
                <w:szCs w:val="13"/>
              </w:rPr>
              <w:t xml:space="preserve">• La comparación muestra por qué cada candidato ocupa su posición</w:t>
            </w:r>
          </w:p>
          <w:p>
            <w:pPr>
              <w:spacing w:after="20" w:line="240" w:lineRule="auto"/>
              <w:jc w:val="left"/>
            </w:pPr>
            <w:r>
              <w:rPr>
                <w:sz w:val="13"/>
                <w:szCs w:val="13"/>
              </w:rPr>
              <w:t xml:space="preserve">• La decisión final queda justificada y se puede consultar después</w:t>
            </w:r>
          </w:p>
        </w:tc>
        <w:tc>
          <w:tcPr>
            <w:tcW w:w="1343" w:type="dxa"/>
          </w:tcPr>
          <w:p>
            <w:pPr>
              <w:spacing w:after="20" w:line="240" w:lineRule="auto"/>
              <w:jc w:val="left"/>
            </w:pPr>
            <w:r>
              <w:rPr>
                <w:sz w:val="13"/>
                <w:szCs w:val="13"/>
              </w:rPr>
              <w:t xml:space="preserve">Cuestionario Likert (Aprobador / Dirección y RR. HH.)</w:t>
            </w:r>
          </w:p>
        </w:tc>
        <w:tc>
          <w:tcPr>
            <w:tcW w:w="1214" w:type="dxa"/>
          </w:tcPr>
          <w:p>
            <w:pPr>
              <w:spacing w:after="20" w:line="240" w:lineRule="auto"/>
              <w:jc w:val="left"/>
            </w:pPr>
            <w:r>
              <w:rPr>
                <w:sz w:val="13"/>
                <w:szCs w:val="13"/>
              </w:rPr>
              <w:t xml:space="preserve">Ordinal (Likert 1–5)</w:t>
            </w:r>
          </w:p>
        </w:tc>
      </w:tr>
      <w:tr>
        <w:trPr>
          <w:cantSplit/>
        </w:trPr>
        <w:tc>
          <w:tcPr>
            <w:tcW w:w="1343" w:type="dxa"/>
            <w:vMerge w:val="restart"/>
          </w:tcPr>
          <w:p>
            <w:pPr>
              <w:spacing w:after="20" w:line="240" w:lineRule="auto"/>
              <w:jc w:val="left"/>
            </w:pPr>
            <w:r>
              <w:rPr>
                <w:sz w:val="13"/>
                <w:szCs w:val="13"/>
              </w:rPr>
              <w:t xml:space="preserve">VIN-1 — Aseguramiento de la calidad con desarrollo guiado por pruebas (TDD) y pruebas automatizadas</w:t>
            </w:r>
          </w:p>
        </w:tc>
        <w:tc>
          <w:tcPr>
            <w:tcW w:w="1746" w:type="dxa"/>
            <w:vMerge w:val="restart"/>
          </w:tcPr>
          <w:p>
            <w:pPr>
              <w:spacing w:after="20" w:line="240" w:lineRule="auto"/>
              <w:jc w:val="left"/>
            </w:pPr>
            <w:r>
              <w:rPr>
                <w:sz w:val="13"/>
                <w:szCs w:val="13"/>
              </w:rPr>
              <w:t xml:space="preserve">Enfoque de desarrollo en que cada regla de negocio se escribe primero como una prueba que falla (RED) y después se implementa hasta que la prueba pasa (GREEN), complementado con pruebas automatizadas de componentes, de extremo a extremo e integración continua.</w:t>
            </w:r>
          </w:p>
        </w:tc>
        <w:tc>
          <w:tcPr>
            <w:tcW w:w="1746" w:type="dxa"/>
            <w:vMerge w:val="restart"/>
          </w:tcPr>
          <w:p>
            <w:pPr>
              <w:spacing w:after="20" w:line="240" w:lineRule="auto"/>
              <w:jc w:val="left"/>
            </w:pPr>
            <w:r>
              <w:rPr>
                <w:sz w:val="13"/>
                <w:szCs w:val="13"/>
              </w:rPr>
              <w:t xml:space="preserve">Se mide por los ciclos RED → GREEN documentados, la trazabilidad RF → prueba y los resultados de las suites automatizadas y de la integración continua, tal como están registrados en el repositorio y en GitHub Actions.</w:t>
            </w:r>
          </w:p>
        </w:tc>
        <w:tc>
          <w:tcPr>
            <w:tcW w:w="1343" w:type="dxa"/>
            <w:vMerge w:val="restart"/>
          </w:tcPr>
          <w:p>
            <w:pPr>
              <w:spacing w:after="20" w:line="240" w:lineRule="auto"/>
              <w:jc w:val="left"/>
            </w:pPr>
            <w:r>
              <w:rPr>
                <w:sz w:val="13"/>
                <w:szCs w:val="13"/>
              </w:rPr>
              <w:t xml:space="preserve">VIN-1-D1 Práctica de TDD</w:t>
            </w:r>
          </w:p>
        </w:tc>
        <w:tc>
          <w:tcPr>
            <w:tcW w:w="1477" w:type="dxa"/>
          </w:tcPr>
          <w:p>
            <w:pPr>
              <w:spacing w:after="20" w:line="240" w:lineRule="auto"/>
              <w:jc w:val="left"/>
            </w:pPr>
            <w:r>
              <w:rPr>
                <w:sz w:val="13"/>
                <w:szCs w:val="13"/>
              </w:rPr>
              <w:t xml:space="preserve">VIN-1-D1-I1 Ciclos RED → GREEN documentados</w:t>
            </w:r>
          </w:p>
        </w:tc>
        <w:tc>
          <w:tcPr>
            <w:tcW w:w="3224" w:type="dxa"/>
          </w:tcPr>
          <w:p>
            <w:pPr>
              <w:spacing w:after="20" w:line="240" w:lineRule="auto"/>
              <w:jc w:val="left"/>
            </w:pPr>
            <w:r>
              <w:rPr>
                <w:sz w:val="13"/>
                <w:szCs w:val="13"/>
              </w:rPr>
              <w:t xml:space="preserve">• N.º de ciclos documentados con la salida real de RED y de GREEN</w:t>
            </w:r>
          </w:p>
          <w:p>
            <w:pPr>
              <w:spacing w:after="20" w:line="240" w:lineRule="auto"/>
              <w:jc w:val="left"/>
            </w:pPr>
            <w:r>
              <w:rPr>
                <w:sz w:val="13"/>
                <w:szCs w:val="13"/>
              </w:rPr>
              <w:t xml:space="preserve">• N.º de RF con al menos una prueba </w:t>
            </w:r>
            <w:r>
              <w:rPr>
                <w:rFonts w:ascii="Consolas" w:hAnsi="Consolas"/>
                <w:sz w:val="13"/>
                <w:szCs w:val="13"/>
              </w:rPr>
              <w:t xml:space="preserve">test_rfNN_*</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VIN-1-D1-I2 Defectos cubiertos por pruebas de regresión</w:t>
            </w:r>
          </w:p>
        </w:tc>
        <w:tc>
          <w:tcPr>
            <w:tcW w:w="3224" w:type="dxa"/>
          </w:tcPr>
          <w:p>
            <w:pPr>
              <w:spacing w:after="20" w:line="240" w:lineRule="auto"/>
              <w:jc w:val="left"/>
            </w:pPr>
            <w:r>
              <w:rPr>
                <w:sz w:val="13"/>
                <w:szCs w:val="13"/>
              </w:rPr>
              <w:t xml:space="preserve">• N.º de defectos registrados (DEF-01 a DEF-13)</w:t>
            </w:r>
          </w:p>
          <w:p>
            <w:pPr>
              <w:spacing w:after="20" w:line="240" w:lineRule="auto"/>
              <w:jc w:val="left"/>
            </w:pPr>
            <w:r>
              <w:rPr>
                <w:sz w:val="13"/>
                <w:szCs w:val="13"/>
              </w:rPr>
              <w:t xml:space="preserve">• ¿Cada defecto cerrado indica la prueba o la validación que lo cubre?</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VIN-1-D2 Automatización e integración continua</w:t>
            </w:r>
          </w:p>
        </w:tc>
        <w:tc>
          <w:tcPr>
            <w:tcW w:w="1477" w:type="dxa"/>
          </w:tcPr>
          <w:p>
            <w:pPr>
              <w:spacing w:after="20" w:line="240" w:lineRule="auto"/>
              <w:jc w:val="left"/>
            </w:pPr>
            <w:r>
              <w:rPr>
                <w:sz w:val="13"/>
                <w:szCs w:val="13"/>
              </w:rPr>
              <w:t xml:space="preserve">VIN-1-D2-I1 Resultado de las suites automatizadas</w:t>
            </w:r>
          </w:p>
        </w:tc>
        <w:tc>
          <w:tcPr>
            <w:tcW w:w="3224" w:type="dxa"/>
          </w:tcPr>
          <w:p>
            <w:pPr>
              <w:spacing w:after="20" w:line="240" w:lineRule="auto"/>
              <w:jc w:val="left"/>
            </w:pPr>
            <w:r>
              <w:rPr>
                <w:sz w:val="13"/>
                <w:szCs w:val="13"/>
              </w:rPr>
              <w:t xml:space="preserve">• Pruebas PHPUnit superadas, omitidas y fallidas en la última ejecución registrada</w:t>
            </w:r>
          </w:p>
          <w:p>
            <w:pPr>
              <w:spacing w:after="20" w:line="240" w:lineRule="auto"/>
              <w:jc w:val="left"/>
            </w:pPr>
            <w:r>
              <w:rPr>
                <w:sz w:val="13"/>
                <w:szCs w:val="13"/>
              </w:rPr>
              <w:t xml:space="preserve">• Especificaciones Cypress superadas en la última ejecución registrada</w:t>
            </w:r>
          </w:p>
        </w:tc>
        <w:tc>
          <w:tcPr>
            <w:tcW w:w="1343" w:type="dxa"/>
          </w:tcPr>
          <w:p>
            <w:pPr>
              <w:spacing w:after="20" w:line="240" w:lineRule="auto"/>
              <w:jc w:val="left"/>
            </w:pPr>
            <w:r>
              <w:rPr>
                <w:sz w:val="13"/>
                <w:szCs w:val="13"/>
              </w:rPr>
              <w:t xml:space="preserve">Ficha de observación (registros de ejecución)</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VIN-1-D2-I2 Integración continua</w:t>
            </w:r>
          </w:p>
        </w:tc>
        <w:tc>
          <w:tcPr>
            <w:tcW w:w="3224" w:type="dxa"/>
          </w:tcPr>
          <w:p>
            <w:pPr>
              <w:spacing w:after="20" w:line="240" w:lineRule="auto"/>
              <w:jc w:val="left"/>
            </w:pPr>
            <w:r>
              <w:rPr>
                <w:sz w:val="13"/>
                <w:szCs w:val="13"/>
              </w:rPr>
              <w:t xml:space="preserve">• N.º de ejecuciones de CI en verde sobre el total en develop y main</w:t>
            </w:r>
          </w:p>
          <w:p>
            <w:pPr>
              <w:spacing w:after="20" w:line="240" w:lineRule="auto"/>
              <w:jc w:val="left"/>
            </w:pPr>
            <w:r>
              <w:rPr>
                <w:sz w:val="13"/>
                <w:szCs w:val="13"/>
              </w:rPr>
              <w:t xml:space="preserve">• ¿Cada integración a develop y main tiene su ejecución de CI en verde?</w:t>
            </w:r>
          </w:p>
        </w:tc>
        <w:tc>
          <w:tcPr>
            <w:tcW w:w="1343" w:type="dxa"/>
          </w:tcPr>
          <w:p>
            <w:pPr>
              <w:spacing w:after="20" w:line="240" w:lineRule="auto"/>
              <w:jc w:val="left"/>
            </w:pPr>
            <w:r>
              <w:rPr>
                <w:sz w:val="13"/>
                <w:szCs w:val="13"/>
              </w:rPr>
              <w:t xml:space="preserve">Ficha de observación (registros de GitHub Actions)</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val="restart"/>
          </w:tcPr>
          <w:p>
            <w:pPr>
              <w:spacing w:after="20" w:line="240" w:lineRule="auto"/>
              <w:jc w:val="left"/>
            </w:pPr>
            <w:r>
              <w:rPr>
                <w:sz w:val="13"/>
                <w:szCs w:val="13"/>
              </w:rPr>
              <w:t xml:space="preserve">VIN-2 — Modelo de calidad del producto ISO/IEC 25010 (marco de referencia)</w:t>
            </w:r>
          </w:p>
        </w:tc>
        <w:tc>
          <w:tcPr>
            <w:tcW w:w="1746" w:type="dxa"/>
            <w:vMerge w:val="restart"/>
          </w:tcPr>
          <w:p>
            <w:pPr>
              <w:spacing w:after="20" w:line="240" w:lineRule="auto"/>
              <w:jc w:val="left"/>
            </w:pPr>
            <w:r>
              <w:rPr>
                <w:sz w:val="13"/>
                <w:szCs w:val="13"/>
              </w:rPr>
              <w:t xml:space="preserve">Modelo normativo que organiza la calidad del producto software en características como la seguridad, la usabilidad, la eficiencia de desempeño, la fiabilidad, la compatibilidad y la mantenibilidad. En el proyecto es un marco de referencia: el producto no se evaluó ni se certificó según la norma.</w:t>
            </w:r>
          </w:p>
        </w:tc>
        <w:tc>
          <w:tcPr>
            <w:tcW w:w="1746" w:type="dxa"/>
            <w:vMerge w:val="restart"/>
          </w:tcPr>
          <w:p>
            <w:pPr>
              <w:spacing w:after="20" w:line="240" w:lineRule="auto"/>
              <w:jc w:val="left"/>
            </w:pPr>
            <w:r>
              <w:rPr>
                <w:sz w:val="13"/>
                <w:szCs w:val="13"/>
              </w:rPr>
              <w:t xml:space="preserve">Se mide por el estado de verificación de los diez RNF académicos del Formato 07, agrupados por característica de la norma.</w:t>
            </w:r>
          </w:p>
        </w:tc>
        <w:tc>
          <w:tcPr>
            <w:tcW w:w="1343" w:type="dxa"/>
            <w:vMerge w:val="restart"/>
          </w:tcPr>
          <w:p>
            <w:pPr>
              <w:spacing w:after="20" w:line="240" w:lineRule="auto"/>
              <w:jc w:val="left"/>
            </w:pPr>
            <w:r>
              <w:rPr>
                <w:sz w:val="13"/>
                <w:szCs w:val="13"/>
              </w:rPr>
              <w:t xml:space="preserve">VIN-2-D1 Características de calidad cubiertas</w:t>
            </w:r>
          </w:p>
        </w:tc>
        <w:tc>
          <w:tcPr>
            <w:tcW w:w="1477" w:type="dxa"/>
          </w:tcPr>
          <w:p>
            <w:pPr>
              <w:spacing w:after="20" w:line="240" w:lineRule="auto"/>
              <w:jc w:val="left"/>
            </w:pPr>
            <w:r>
              <w:rPr>
                <w:sz w:val="13"/>
                <w:szCs w:val="13"/>
              </w:rPr>
              <w:t xml:space="preserve">VIN-2-D1-I1 Correspondencia de los RNF con la norma</w:t>
            </w:r>
          </w:p>
        </w:tc>
        <w:tc>
          <w:tcPr>
            <w:tcW w:w="3224" w:type="dxa"/>
          </w:tcPr>
          <w:p>
            <w:pPr>
              <w:spacing w:after="20" w:line="240" w:lineRule="auto"/>
              <w:jc w:val="left"/>
            </w:pPr>
            <w:r>
              <w:rPr>
                <w:sz w:val="13"/>
                <w:szCs w:val="13"/>
              </w:rPr>
              <w:t xml:space="preserve">• ¿Cada RNF está asignado a una característica de la norma?</w:t>
            </w:r>
          </w:p>
          <w:p>
            <w:pPr>
              <w:spacing w:after="20" w:line="240" w:lineRule="auto"/>
              <w:jc w:val="left"/>
            </w:pPr>
            <w:r>
              <w:rPr>
                <w:sz w:val="13"/>
                <w:szCs w:val="13"/>
              </w:rPr>
              <w:t xml:space="preserve">• N.º de características de la norma con al menos un RNF asociado</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 y razón (conteo)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VIN-2-D1-I2 RNF con criterio y método de verificación</w:t>
            </w:r>
          </w:p>
        </w:tc>
        <w:tc>
          <w:tcPr>
            <w:tcW w:w="3224" w:type="dxa"/>
          </w:tcPr>
          <w:p>
            <w:pPr>
              <w:spacing w:after="20" w:line="240" w:lineRule="auto"/>
              <w:jc w:val="left"/>
            </w:pPr>
            <w:r>
              <w:rPr>
                <w:sz w:val="13"/>
                <w:szCs w:val="13"/>
              </w:rPr>
              <w:t xml:space="preserve">• ¿Cada RNF tiene un criterio de aceptación medible?</w:t>
            </w:r>
          </w:p>
          <w:p>
            <w:pPr>
              <w:spacing w:after="20" w:line="240" w:lineRule="auto"/>
              <w:jc w:val="left"/>
            </w:pPr>
            <w:r>
              <w:rPr>
                <w:sz w:val="13"/>
                <w:szCs w:val="13"/>
              </w:rPr>
              <w:t xml:space="preserve">• ¿Cada RNF declara su método de verificación?</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VIN-2-D2 Estado de verificación de los RNF</w:t>
            </w:r>
          </w:p>
        </w:tc>
        <w:tc>
          <w:tcPr>
            <w:tcW w:w="1477" w:type="dxa"/>
          </w:tcPr>
          <w:p>
            <w:pPr>
              <w:spacing w:after="20" w:line="240" w:lineRule="auto"/>
              <w:jc w:val="left"/>
            </w:pPr>
            <w:r>
              <w:rPr>
                <w:sz w:val="13"/>
                <w:szCs w:val="13"/>
              </w:rPr>
              <w:t xml:space="preserve">VIN-2-D2-I1 Estado de cada RNF académico</w:t>
            </w:r>
          </w:p>
        </w:tc>
        <w:tc>
          <w:tcPr>
            <w:tcW w:w="3224" w:type="dxa"/>
          </w:tcPr>
          <w:p>
            <w:pPr>
              <w:spacing w:after="20" w:line="240" w:lineRule="auto"/>
              <w:jc w:val="left"/>
            </w:pPr>
            <w:r>
              <w:rPr>
                <w:sz w:val="13"/>
                <w:szCs w:val="13"/>
              </w:rPr>
              <w:t xml:space="preserve">• N.º de RNF VERIFICADOS</w:t>
            </w:r>
          </w:p>
          <w:p>
            <w:pPr>
              <w:spacing w:after="20" w:line="240" w:lineRule="auto"/>
              <w:jc w:val="left"/>
            </w:pPr>
            <w:r>
              <w:rPr>
                <w:sz w:val="13"/>
                <w:szCs w:val="13"/>
              </w:rPr>
              <w:t xml:space="preserve">• N.º de RNF con EVIDENCIA PARCIAL</w:t>
            </w:r>
          </w:p>
          <w:p>
            <w:pPr>
              <w:spacing w:after="20" w:line="240" w:lineRule="auto"/>
              <w:jc w:val="left"/>
            </w:pPr>
            <w:r>
              <w:rPr>
                <w:sz w:val="13"/>
                <w:szCs w:val="13"/>
              </w:rPr>
              <w:t xml:space="preserve">• N.º de RNF NO VERIFICADOS (RNF-06 y RNF-07)</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Ordinal (verificado &gt; parcial &gt; no verificado)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VIN-2-D2-I2 Evidencia y brechas declaradas</w:t>
            </w:r>
          </w:p>
        </w:tc>
        <w:tc>
          <w:tcPr>
            <w:tcW w:w="3224" w:type="dxa"/>
          </w:tcPr>
          <w:p>
            <w:pPr>
              <w:spacing w:after="20" w:line="240" w:lineRule="auto"/>
              <w:jc w:val="left"/>
            </w:pPr>
            <w:r>
              <w:rPr>
                <w:sz w:val="13"/>
                <w:szCs w:val="13"/>
              </w:rPr>
              <w:t xml:space="preserve">• ¿Cada RNF VERIFICADO cita la ejecución o la prueba que lo respalda?</w:t>
            </w:r>
          </w:p>
          <w:p>
            <w:pPr>
              <w:spacing w:after="20" w:line="240" w:lineRule="auto"/>
              <w:jc w:val="left"/>
            </w:pPr>
            <w:r>
              <w:rPr>
                <w:sz w:val="13"/>
                <w:szCs w:val="13"/>
              </w:rPr>
              <w:t xml:space="preserve">• ¿Cada RNF NO VERIFICADO o con EVIDENCIA PARCIAL declara qué le falta?</w:t>
            </w:r>
          </w:p>
          <w:p>
            <w:pPr>
              <w:spacing w:after="20" w:line="240" w:lineRule="auto"/>
              <w:jc w:val="left"/>
            </w:pPr>
            <w:r>
              <w:rPr>
                <w:sz w:val="13"/>
                <w:szCs w:val="13"/>
              </w:rPr>
              <w:t xml:space="preserve">• ¿Se declaran las características no evaluadas (eficiencia de desempeño)?</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val="restart"/>
          </w:tcPr>
          <w:p>
            <w:pPr>
              <w:spacing w:after="20" w:line="240" w:lineRule="auto"/>
              <w:jc w:val="left"/>
            </w:pPr>
            <w:r>
              <w:rPr>
                <w:sz w:val="13"/>
                <w:szCs w:val="13"/>
              </w:rPr>
              <w:t xml:space="preserve">VIN-3 — Arquitectura modular multiempresa y entorno reproducible</w:t>
            </w:r>
          </w:p>
        </w:tc>
        <w:tc>
          <w:tcPr>
            <w:tcW w:w="1746" w:type="dxa"/>
            <w:vMerge w:val="restart"/>
          </w:tcPr>
          <w:p>
            <w:pPr>
              <w:spacing w:after="20" w:line="240" w:lineRule="auto"/>
              <w:jc w:val="left"/>
            </w:pPr>
            <w:r>
              <w:rPr>
                <w:sz w:val="13"/>
                <w:szCs w:val="13"/>
              </w:rPr>
              <w:t xml:space="preserve">Organización técnica del sistema como monolito modular (Laravel 13 y React 19 con Inertia, sobre PostgreSQL 17 y Redis 7), con aislamiento lógico por organización, un entorno reproducible con Docker Compose y control de versiones con Git.</w:t>
            </w:r>
          </w:p>
        </w:tc>
        <w:tc>
          <w:tcPr>
            <w:tcW w:w="1746" w:type="dxa"/>
            <w:vMerge w:val="restart"/>
          </w:tcPr>
          <w:p>
            <w:pPr>
              <w:spacing w:after="20" w:line="240" w:lineRule="auto"/>
              <w:jc w:val="left"/>
            </w:pPr>
            <w:r>
              <w:rPr>
                <w:sz w:val="13"/>
                <w:szCs w:val="13"/>
              </w:rPr>
              <w:t xml:space="preserve">Se mide por la modularidad de la arquitectura conceptual (F11), el aislamiento verificado entre organizaciones y la reproducibilidad del entorno de desarrollo, demostración y pruebas.</w:t>
            </w:r>
          </w:p>
        </w:tc>
        <w:tc>
          <w:tcPr>
            <w:tcW w:w="1343" w:type="dxa"/>
            <w:vMerge w:val="restart"/>
          </w:tcPr>
          <w:p>
            <w:pPr>
              <w:spacing w:after="20" w:line="240" w:lineRule="auto"/>
              <w:jc w:val="left"/>
            </w:pPr>
            <w:r>
              <w:rPr>
                <w:sz w:val="13"/>
                <w:szCs w:val="13"/>
              </w:rPr>
              <w:t xml:space="preserve">VIN-3-D1 Modularidad</w:t>
            </w:r>
          </w:p>
        </w:tc>
        <w:tc>
          <w:tcPr>
            <w:tcW w:w="1477" w:type="dxa"/>
          </w:tcPr>
          <w:p>
            <w:pPr>
              <w:spacing w:after="20" w:line="240" w:lineRule="auto"/>
              <w:jc w:val="left"/>
            </w:pPr>
            <w:r>
              <w:rPr>
                <w:sz w:val="13"/>
                <w:szCs w:val="13"/>
              </w:rPr>
              <w:t xml:space="preserve">VIN-3-D1-I1 Componentes y dependencias</w:t>
            </w:r>
          </w:p>
        </w:tc>
        <w:tc>
          <w:tcPr>
            <w:tcW w:w="3224" w:type="dxa"/>
          </w:tcPr>
          <w:p>
            <w:pPr>
              <w:spacing w:after="20" w:line="240" w:lineRule="auto"/>
              <w:jc w:val="left"/>
            </w:pPr>
            <w:r>
              <w:rPr>
                <w:sz w:val="13"/>
                <w:szCs w:val="13"/>
              </w:rPr>
              <w:t xml:space="preserve">• N.º de componentes conceptuales (CMP-01 a CMP-17)</w:t>
            </w:r>
          </w:p>
          <w:p>
            <w:pPr>
              <w:spacing w:after="20" w:line="240" w:lineRule="auto"/>
              <w:jc w:val="left"/>
            </w:pPr>
            <w:r>
              <w:rPr>
                <w:sz w:val="13"/>
                <w:szCs w:val="13"/>
              </w:rPr>
              <w:t xml:space="preserve">• N.º de dependencias circulares entre módulos de negocio (esperado: 0)</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 días)</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VIN-3-D1-I2 Relaciones entre componentes</w:t>
            </w:r>
          </w:p>
        </w:tc>
        <w:tc>
          <w:tcPr>
            <w:tcW w:w="3224" w:type="dxa"/>
          </w:tcPr>
          <w:p>
            <w:pPr>
              <w:spacing w:after="20" w:line="240" w:lineRule="auto"/>
              <w:jc w:val="left"/>
            </w:pPr>
            <w:r>
              <w:rPr>
                <w:sz w:val="13"/>
                <w:szCs w:val="13"/>
              </w:rPr>
              <w:t xml:space="preserve">• N.º de relaciones documentadas entre componentes (R-01 a R-20)</w:t>
            </w:r>
          </w:p>
          <w:p>
            <w:pPr>
              <w:spacing w:after="20" w:line="240" w:lineRule="auto"/>
              <w:jc w:val="left"/>
            </w:pPr>
            <w:r>
              <w:rPr>
                <w:sz w:val="13"/>
                <w:szCs w:val="13"/>
              </w:rPr>
              <w:t xml:space="preserve">• ¿Cada relación declara su tipo, la información intercambiada y la dependencia?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VIN-3-D2 Aislamiento y reproducibilidad</w:t>
            </w:r>
          </w:p>
        </w:tc>
        <w:tc>
          <w:tcPr>
            <w:tcW w:w="1477" w:type="dxa"/>
          </w:tcPr>
          <w:p>
            <w:pPr>
              <w:spacing w:after="20" w:line="240" w:lineRule="auto"/>
              <w:jc w:val="left"/>
            </w:pPr>
            <w:r>
              <w:rPr>
                <w:sz w:val="13"/>
                <w:szCs w:val="13"/>
              </w:rPr>
              <w:t xml:space="preserve">VIN-3-D2-I1 Aislamiento multiempresa</w:t>
            </w:r>
          </w:p>
        </w:tc>
        <w:tc>
          <w:tcPr>
            <w:tcW w:w="3224" w:type="dxa"/>
          </w:tcPr>
          <w:p>
            <w:pPr>
              <w:spacing w:after="20" w:line="240" w:lineRule="auto"/>
              <w:jc w:val="left"/>
            </w:pPr>
            <w:r>
              <w:rPr>
                <w:sz w:val="13"/>
                <w:szCs w:val="13"/>
              </w:rPr>
              <w:t xml:space="preserve">• ¿Toda entidad de negocio lleva organization_id?</w:t>
            </w:r>
          </w:p>
          <w:p>
            <w:pPr>
              <w:spacing w:after="20" w:line="240" w:lineRule="auto"/>
              <w:jc w:val="left"/>
            </w:pPr>
            <w:r>
              <w:rPr>
                <w:sz w:val="13"/>
                <w:szCs w:val="13"/>
              </w:rPr>
              <w:t xml:space="preserve">• ¿Pasan las pruebas de acceso cruzado (CrossTenantAccessTest y E2E-11)?</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VIN-3-D2-I2 Entorno reproducible</w:t>
            </w:r>
          </w:p>
        </w:tc>
        <w:tc>
          <w:tcPr>
            <w:tcW w:w="3224" w:type="dxa"/>
          </w:tcPr>
          <w:p>
            <w:pPr>
              <w:spacing w:after="20" w:line="240" w:lineRule="auto"/>
              <w:jc w:val="left"/>
            </w:pPr>
            <w:r>
              <w:rPr>
                <w:sz w:val="13"/>
                <w:szCs w:val="13"/>
              </w:rPr>
              <w:t xml:space="preserve">• N.º de servicios de Docker Compose con verificación de salud</w:t>
            </w:r>
          </w:p>
          <w:p>
            <w:pPr>
              <w:spacing w:after="20" w:line="240" w:lineRule="auto"/>
              <w:jc w:val="left"/>
            </w:pPr>
            <w:r>
              <w:rPr>
                <w:sz w:val="13"/>
                <w:szCs w:val="13"/>
              </w:rPr>
              <w:t xml:space="preserve">• ¿El entorno se levanta con los comandos documentados, sin instalar PHP ni Node locales?</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val="restart"/>
          </w:tcPr>
          <w:p>
            <w:pPr>
              <w:spacing w:after="20" w:line="240" w:lineRule="auto"/>
              <w:jc w:val="left"/>
            </w:pPr>
            <w:r>
              <w:rPr>
                <w:sz w:val="13"/>
                <w:szCs w:val="13"/>
              </w:rPr>
              <w:t xml:space="preserve">VIN-4 — Aprendizaje automático experimental para el riesgo operacional del proceso (RF-29)</w:t>
            </w:r>
          </w:p>
        </w:tc>
        <w:tc>
          <w:tcPr>
            <w:tcW w:w="1746" w:type="dxa"/>
            <w:vMerge w:val="restart"/>
          </w:tcPr>
          <w:p>
            <w:pPr>
              <w:spacing w:after="20" w:line="240" w:lineRule="auto"/>
              <w:jc w:val="left"/>
            </w:pPr>
            <w:r>
              <w:rPr>
                <w:sz w:val="13"/>
                <w:szCs w:val="13"/>
              </w:rPr>
              <w:t xml:space="preserve">Modelo de clasificación supervisada (regresión logística) que estima el riesgo de que un proceso de selección cierre después de su plazo objetivo, a partir de variables operacionales del proceso. Es informativo: no evalúa, puntúa, ordena ni selecciona personas, y no toma la decisión.</w:t>
            </w:r>
          </w:p>
        </w:tc>
        <w:tc>
          <w:tcPr>
            <w:tcW w:w="1746" w:type="dxa"/>
            <w:vMerge w:val="restart"/>
          </w:tcPr>
          <w:p>
            <w:pPr>
              <w:spacing w:after="20" w:line="240" w:lineRule="auto"/>
              <w:jc w:val="left"/>
            </w:pPr>
            <w:r>
              <w:rPr>
                <w:sz w:val="13"/>
                <w:szCs w:val="13"/>
              </w:rPr>
              <w:t xml:space="preserve">Se describe por las 15 variables operacionales que usa (coinciden con indicadores de la variable dependiente), la salida que entrega y sus salvaguardas. Su desempeño solo se midió con datos sintéticos: no está validado institucionalmente ni autorizado para producción.</w:t>
            </w:r>
          </w:p>
        </w:tc>
        <w:tc>
          <w:tcPr>
            <w:tcW w:w="1343" w:type="dxa"/>
            <w:vMerge w:val="restart"/>
          </w:tcPr>
          <w:p>
            <w:pPr>
              <w:spacing w:after="20" w:line="240" w:lineRule="auto"/>
              <w:jc w:val="left"/>
            </w:pPr>
            <w:r>
              <w:rPr>
                <w:sz w:val="13"/>
                <w:szCs w:val="13"/>
              </w:rPr>
              <w:t xml:space="preserve">VIN-4-D1 Variables de entrada del proceso</w:t>
            </w:r>
          </w:p>
        </w:tc>
        <w:tc>
          <w:tcPr>
            <w:tcW w:w="1477" w:type="dxa"/>
          </w:tcPr>
          <w:p>
            <w:pPr>
              <w:spacing w:after="20" w:line="240" w:lineRule="auto"/>
              <w:jc w:val="left"/>
            </w:pPr>
            <w:r>
              <w:rPr>
                <w:sz w:val="13"/>
                <w:szCs w:val="13"/>
              </w:rPr>
              <w:t xml:space="preserve">VIN-4-D1-I1 Disponibilidad de las variables operacionales</w:t>
            </w:r>
          </w:p>
        </w:tc>
        <w:tc>
          <w:tcPr>
            <w:tcW w:w="3224" w:type="dxa"/>
          </w:tcPr>
          <w:p>
            <w:pPr>
              <w:spacing w:after="20" w:line="240" w:lineRule="auto"/>
              <w:jc w:val="left"/>
            </w:pPr>
            <w:r>
              <w:rPr>
                <w:sz w:val="13"/>
                <w:szCs w:val="13"/>
              </w:rPr>
              <w:t xml:space="preserve">• N.º de variables del contrato de features que la plataforma puede calcular (de 15)</w:t>
            </w:r>
          </w:p>
          <w:p>
            <w:pPr>
              <w:spacing w:after="20" w:line="240" w:lineRule="auto"/>
              <w:jc w:val="left"/>
            </w:pPr>
            <w:r>
              <w:rPr>
                <w:sz w:val="13"/>
                <w:szCs w:val="13"/>
              </w:rPr>
              <w:t xml:space="preserve">• ¿Alguna variable identifica o describe a un candidato? (esperado: No)</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Razón (conteo) y 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VIN-4-D1-I2 Datos de entrenamiento y etiqueta</w:t>
            </w:r>
          </w:p>
        </w:tc>
        <w:tc>
          <w:tcPr>
            <w:tcW w:w="3224" w:type="dxa"/>
          </w:tcPr>
          <w:p>
            <w:pPr>
              <w:spacing w:after="20" w:line="240" w:lineRule="auto"/>
              <w:jc w:val="left"/>
            </w:pPr>
            <w:r>
              <w:rPr>
                <w:sz w:val="13"/>
                <w:szCs w:val="13"/>
              </w:rPr>
              <w:t xml:space="preserve">• ¿El modelo se entrenó solo con datos sintéticos?</w:t>
            </w:r>
          </w:p>
          <w:p>
            <w:pPr>
              <w:spacing w:after="20" w:line="240" w:lineRule="auto"/>
              <w:jc w:val="left"/>
            </w:pPr>
            <w:r>
              <w:rPr>
                <w:sz w:val="13"/>
                <w:szCs w:val="13"/>
              </w:rPr>
              <w:t xml:space="preserve">• ¿La etiqueta describe el proceso (cierre después del plazo objetivo) y no a una persona?</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val="restart"/>
          </w:tcPr>
          <w:p>
            <w:pPr>
              <w:spacing w:after="20" w:line="240" w:lineRule="auto"/>
              <w:jc w:val="left"/>
            </w:pPr>
            <w:r>
              <w:rPr>
                <w:sz w:val="13"/>
                <w:szCs w:val="13"/>
              </w:rPr>
              <w:t xml:space="preserve">VIN-4-D2 Uso informativo y salvaguardas</w:t>
            </w:r>
          </w:p>
        </w:tc>
        <w:tc>
          <w:tcPr>
            <w:tcW w:w="1477" w:type="dxa"/>
          </w:tcPr>
          <w:p>
            <w:pPr>
              <w:spacing w:after="20" w:line="240" w:lineRule="auto"/>
              <w:jc w:val="left"/>
            </w:pPr>
            <w:r>
              <w:rPr>
                <w:sz w:val="13"/>
                <w:szCs w:val="13"/>
              </w:rPr>
              <w:t xml:space="preserve">VIN-4-D2-I1 Salida limitada al riesgo del proceso</w:t>
            </w:r>
          </w:p>
        </w:tc>
        <w:tc>
          <w:tcPr>
            <w:tcW w:w="3224" w:type="dxa"/>
          </w:tcPr>
          <w:p>
            <w:pPr>
              <w:spacing w:after="20" w:line="240" w:lineRule="auto"/>
              <w:jc w:val="left"/>
            </w:pPr>
            <w:r>
              <w:rPr>
                <w:sz w:val="13"/>
                <w:szCs w:val="13"/>
              </w:rPr>
              <w:t xml:space="preserve">• ¿El resultado se muestra solo como riesgo del proceso en la ficha de la vacante?</w:t>
            </w:r>
          </w:p>
          <w:p>
            <w:pPr>
              <w:spacing w:after="20" w:line="240" w:lineRule="auto"/>
              <w:jc w:val="left"/>
            </w:pPr>
            <w:r>
              <w:rPr>
                <w:sz w:val="13"/>
                <w:szCs w:val="13"/>
              </w:rPr>
              <w:t xml:space="preserve">• ¿El resultado modifica el ranking, la decisión o la selección? (esperado: No)</w:t>
            </w:r>
          </w:p>
          <w:p>
            <w:pPr>
              <w:spacing w:after="20" w:line="240" w:lineRule="auto"/>
              <w:jc w:val="left"/>
            </w:pPr>
            <w:r>
              <w:rPr>
                <w:sz w:val="13"/>
                <w:szCs w:val="13"/>
              </w:rPr>
              <w:t xml:space="preserve">• ¿La aplicación funciona igual cuando el servicio no está disponible?</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r>
        <w:trPr>
          <w:cantSplit/>
        </w:trPr>
        <w:tc>
          <w:tcPr>
            <w:tcW w:w="1343" w:type="dxa"/>
            <w:vMerge/>
          </w:tcPr>
          <w:p>
            <w:pPr>
              <w:spacing w:after="20" w:line="240" w:lineRule="auto"/>
              <w:jc w:val="left"/>
            </w:pPr>
          </w:p>
        </w:tc>
        <w:tc>
          <w:tcPr>
            <w:tcW w:w="1746" w:type="dxa"/>
            <w:vMerge/>
          </w:tcPr>
          <w:p>
            <w:pPr>
              <w:spacing w:after="20" w:line="240" w:lineRule="auto"/>
              <w:jc w:val="left"/>
            </w:pPr>
          </w:p>
        </w:tc>
        <w:tc>
          <w:tcPr>
            <w:tcW w:w="1746" w:type="dxa"/>
            <w:vMerge/>
          </w:tcPr>
          <w:p>
            <w:pPr>
              <w:spacing w:after="20" w:line="240" w:lineRule="auto"/>
              <w:jc w:val="left"/>
            </w:pPr>
          </w:p>
        </w:tc>
        <w:tc>
          <w:tcPr>
            <w:tcW w:w="1343" w:type="dxa"/>
            <w:vMerge/>
          </w:tcPr>
          <w:p>
            <w:pPr>
              <w:spacing w:after="20" w:line="240" w:lineRule="auto"/>
              <w:jc w:val="left"/>
            </w:pPr>
          </w:p>
        </w:tc>
        <w:tc>
          <w:tcPr>
            <w:tcW w:w="1477" w:type="dxa"/>
          </w:tcPr>
          <w:p>
            <w:pPr>
              <w:spacing w:after="20" w:line="240" w:lineRule="auto"/>
              <w:jc w:val="left"/>
            </w:pPr>
            <w:r>
              <w:rPr>
                <w:sz w:val="13"/>
                <w:szCs w:val="13"/>
              </w:rPr>
              <w:t xml:space="preserve">VIN-4-D2-I2 Contrato científico congelado</w:t>
            </w:r>
          </w:p>
        </w:tc>
        <w:tc>
          <w:tcPr>
            <w:tcW w:w="3224" w:type="dxa"/>
          </w:tcPr>
          <w:p>
            <w:pPr>
              <w:spacing w:after="20" w:line="240" w:lineRule="auto"/>
              <w:jc w:val="left"/>
            </w:pPr>
            <w:r>
              <w:rPr>
                <w:sz w:val="13"/>
                <w:szCs w:val="13"/>
              </w:rPr>
              <w:t xml:space="preserve">• ¿El modelo servido coincide con la huella SHA-256 registrada en el freeze de la Fase 15B?</w:t>
            </w:r>
          </w:p>
          <w:p>
            <w:pPr>
              <w:spacing w:after="20" w:line="240" w:lineRule="auto"/>
              <w:jc w:val="left"/>
            </w:pPr>
            <w:r>
              <w:rPr>
                <w:sz w:val="13"/>
                <w:szCs w:val="13"/>
              </w:rPr>
              <w:t xml:space="preserve">• ¿El umbral de decisión es el congelado (0.1679418172266036)?</w:t>
            </w:r>
          </w:p>
        </w:tc>
        <w:tc>
          <w:tcPr>
            <w:tcW w:w="1343" w:type="dxa"/>
          </w:tcPr>
          <w:p>
            <w:pPr>
              <w:spacing w:after="20" w:line="240" w:lineRule="auto"/>
              <w:jc w:val="left"/>
            </w:pPr>
            <w:r>
              <w:rPr>
                <w:sz w:val="13"/>
                <w:szCs w:val="13"/>
              </w:rPr>
              <w:t xml:space="preserve">Lista de cotejo</w:t>
            </w:r>
          </w:p>
        </w:tc>
        <w:tc>
          <w:tcPr>
            <w:tcW w:w="1214" w:type="dxa"/>
          </w:tcPr>
          <w:p>
            <w:pPr>
              <w:spacing w:after="20" w:line="240" w:lineRule="auto"/>
              <w:jc w:val="left"/>
            </w:pPr>
            <w:r>
              <w:rPr>
                <w:sz w:val="13"/>
                <w:szCs w:val="13"/>
              </w:rPr>
              <w:t xml:space="preserve">Nominal (Sí / No)</w:t>
            </w:r>
          </w:p>
        </w:tc>
      </w:tr>
    </w:tbl>
    <w:p>
      <w:pPr>
        <w:spacing w:after="120"/>
      </w:pPr>
    </w:p>
    <w:p>
      <w:pPr>
        <w:keepNext/>
        <w:spacing w:after="80" w:line="252" w:lineRule="auto"/>
        <w:jc w:val="left"/>
      </w:pPr>
      <w:r>
        <w:rPr>
          <w:b/>
          <w:bCs/>
          <w:sz w:val="24"/>
          <w:szCs w:val="24"/>
        </w:rPr>
        <w:t xml:space="preserve">Trazabilidad de los indicadores</w:t>
      </w:r>
    </w:p>
    <w:p>
      <w:pPr>
        <w:spacing w:after="80" w:line="252" w:lineRule="auto"/>
        <w:jc w:val="left"/>
      </w:pPr>
      <w:r>
        <w:rPr>
          <w:sz w:val="16"/>
          <w:szCs w:val="16"/>
        </w:rPr>
        <w:t xml:space="preserve">RF, RNF y variables de RF-29 solo cuando hay correspondencia real; los CU se derivan de los RF con la tabla del Formato 08.</w:t>
      </w:r>
    </w:p>
    <w:tbl>
      <w:tblPr>
        <w:tblStyle w:val="Tablaconcuadrcula"/>
        <w:tblW w:w="13436" w:type="dxa"/>
        <w:tblLayout w:type="fixed"/>
        <w:tblLook w:val="04A0" w:firstRow="1" w:lastRow="0" w:firstColumn="1" w:lastColumn="0" w:noHBand="0" w:noVBand="1"/>
      </w:tblPr>
      <w:tblGrid>
        <w:gridCol w:w="1343"/>
        <w:gridCol w:w="2015"/>
        <w:gridCol w:w="2284"/>
        <w:gridCol w:w="1343"/>
        <w:gridCol w:w="2015"/>
        <w:gridCol w:w="1746"/>
        <w:gridCol w:w="2690"/>
      </w:tblGrid>
      <w:tr>
        <w:trPr>
          <w:tblHeader/>
          <w:cantSplit/>
        </w:trPr>
        <w:tc>
          <w:tcPr>
            <w:tcW w:w="1343" w:type="dxa"/>
            <w:shd w:val="clear" w:color="auto" w:fill="D9E2F3"/>
          </w:tcPr>
          <w:p>
            <w:pPr>
              <w:spacing w:after="20" w:line="240" w:lineRule="auto"/>
              <w:jc w:val="left"/>
            </w:pPr>
            <w:r>
              <w:rPr>
                <w:b/>
                <w:bCs/>
                <w:sz w:val="13"/>
                <w:szCs w:val="13"/>
              </w:rPr>
              <w:t xml:space="preserve">Indicador</w:t>
            </w:r>
          </w:p>
        </w:tc>
        <w:tc>
          <w:tcPr>
            <w:tcW w:w="2015" w:type="dxa"/>
            <w:shd w:val="clear" w:color="auto" w:fill="D9E2F3"/>
          </w:tcPr>
          <w:p>
            <w:pPr>
              <w:spacing w:after="20" w:line="240" w:lineRule="auto"/>
              <w:jc w:val="left"/>
            </w:pPr>
            <w:r>
              <w:rPr>
                <w:b/>
                <w:bCs/>
                <w:sz w:val="13"/>
                <w:szCs w:val="13"/>
              </w:rPr>
              <w:t xml:space="preserve">RF</w:t>
            </w:r>
          </w:p>
        </w:tc>
        <w:tc>
          <w:tcPr>
            <w:tcW w:w="2284" w:type="dxa"/>
            <w:shd w:val="clear" w:color="auto" w:fill="D9E2F3"/>
          </w:tcPr>
          <w:p>
            <w:pPr>
              <w:spacing w:after="20" w:line="240" w:lineRule="auto"/>
              <w:jc w:val="left"/>
            </w:pPr>
            <w:r>
              <w:rPr>
                <w:b/>
                <w:bCs/>
                <w:sz w:val="13"/>
                <w:szCs w:val="13"/>
              </w:rPr>
              <w:t xml:space="preserve">CU (derivados de los RF, F8)</w:t>
            </w:r>
          </w:p>
        </w:tc>
        <w:tc>
          <w:tcPr>
            <w:tcW w:w="1343" w:type="dxa"/>
            <w:shd w:val="clear" w:color="auto" w:fill="D9E2F3"/>
          </w:tcPr>
          <w:p>
            <w:pPr>
              <w:spacing w:after="20" w:line="240" w:lineRule="auto"/>
              <w:jc w:val="left"/>
            </w:pPr>
            <w:r>
              <w:rPr>
                <w:b/>
                <w:bCs/>
                <w:sz w:val="13"/>
                <w:szCs w:val="13"/>
              </w:rPr>
              <w:t xml:space="preserve">RNF</w:t>
            </w:r>
          </w:p>
        </w:tc>
        <w:tc>
          <w:tcPr>
            <w:tcW w:w="2015" w:type="dxa"/>
            <w:shd w:val="clear" w:color="auto" w:fill="D9E2F3"/>
          </w:tcPr>
          <w:p>
            <w:pPr>
              <w:spacing w:after="20" w:line="240" w:lineRule="auto"/>
              <w:jc w:val="left"/>
            </w:pPr>
            <w:r>
              <w:rPr>
                <w:b/>
                <w:bCs/>
                <w:sz w:val="13"/>
                <w:szCs w:val="13"/>
              </w:rPr>
              <w:t xml:space="preserve">Variables RF-29</w:t>
            </w:r>
          </w:p>
        </w:tc>
        <w:tc>
          <w:tcPr>
            <w:tcW w:w="1746" w:type="dxa"/>
            <w:shd w:val="clear" w:color="auto" w:fill="D9E2F3"/>
          </w:tcPr>
          <w:p>
            <w:pPr>
              <w:spacing w:after="20" w:line="240" w:lineRule="auto"/>
              <w:jc w:val="left"/>
            </w:pPr>
            <w:r>
              <w:rPr>
                <w:b/>
                <w:bCs/>
                <w:sz w:val="13"/>
                <w:szCs w:val="13"/>
              </w:rPr>
              <w:t xml:space="preserve">Estado</w:t>
            </w:r>
          </w:p>
        </w:tc>
        <w:tc>
          <w:tcPr>
            <w:tcW w:w="2690" w:type="dxa"/>
            <w:shd w:val="clear" w:color="auto" w:fill="D9E2F3"/>
          </w:tcPr>
          <w:p>
            <w:pPr>
              <w:spacing w:after="20" w:line="240" w:lineRule="auto"/>
              <w:jc w:val="left"/>
            </w:pPr>
            <w:r>
              <w:rPr>
                <w:b/>
                <w:bCs/>
                <w:sz w:val="13"/>
                <w:szCs w:val="13"/>
              </w:rPr>
              <w:t xml:space="preserve">Fuente</w:t>
            </w:r>
          </w:p>
        </w:tc>
      </w:tr>
      <w:tr>
        <w:trPr>
          <w:cantSplit/>
        </w:trPr>
        <w:tc>
          <w:tcPr>
            <w:tcW w:w="1343" w:type="dxa"/>
          </w:tcPr>
          <w:p>
            <w:pPr>
              <w:spacing w:after="20" w:line="240" w:lineRule="auto"/>
              <w:jc w:val="left"/>
            </w:pPr>
            <w:r>
              <w:rPr>
                <w:sz w:val="13"/>
                <w:szCs w:val="13"/>
              </w:rPr>
              <w:t xml:space="preserve">VI-D1-I1</w:t>
            </w:r>
          </w:p>
        </w:tc>
        <w:tc>
          <w:tcPr>
            <w:tcW w:w="2015" w:type="dxa"/>
          </w:tcPr>
          <w:p>
            <w:pPr>
              <w:spacing w:after="20" w:line="240" w:lineRule="auto"/>
              <w:jc w:val="left"/>
            </w:pPr>
            <w:r>
              <w:rPr>
                <w:sz w:val="13"/>
                <w:szCs w:val="13"/>
              </w:rPr>
              <w:t xml:space="preserve">RF-01, RF-05, RF-06, RF-09, RF-10, RF-12</w:t>
            </w:r>
          </w:p>
        </w:tc>
        <w:tc>
          <w:tcPr>
            <w:tcW w:w="2284" w:type="dxa"/>
          </w:tcPr>
          <w:p>
            <w:pPr>
              <w:spacing w:after="20" w:line="240" w:lineRule="auto"/>
              <w:jc w:val="left"/>
            </w:pPr>
            <w:r>
              <w:rPr>
                <w:sz w:val="13"/>
                <w:szCs w:val="13"/>
              </w:rPr>
              <w:t xml:space="preserve">CU-01, CU-04, CU-05, CU-08, CU-09, CU-10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docs/final-report/traceability-master.md</w:t>
            </w:r>
          </w:p>
        </w:tc>
      </w:tr>
      <w:tr>
        <w:trPr>
          <w:cantSplit/>
        </w:trPr>
        <w:tc>
          <w:tcPr>
            <w:tcW w:w="1343" w:type="dxa"/>
          </w:tcPr>
          <w:p>
            <w:pPr>
              <w:spacing w:after="20" w:line="240" w:lineRule="auto"/>
              <w:jc w:val="left"/>
            </w:pPr>
            <w:r>
              <w:rPr>
                <w:sz w:val="13"/>
                <w:szCs w:val="13"/>
              </w:rPr>
              <w:t xml:space="preserve">VI-D1-I2</w:t>
            </w:r>
          </w:p>
        </w:tc>
        <w:tc>
          <w:tcPr>
            <w:tcW w:w="2015" w:type="dxa"/>
          </w:tcPr>
          <w:p>
            <w:pPr>
              <w:spacing w:after="20" w:line="240" w:lineRule="auto"/>
              <w:jc w:val="left"/>
            </w:pPr>
            <w:r>
              <w:rPr>
                <w:sz w:val="13"/>
                <w:szCs w:val="13"/>
              </w:rPr>
              <w:t xml:space="preserve">RF-01, RF-10, RF-12</w:t>
            </w:r>
          </w:p>
        </w:tc>
        <w:tc>
          <w:tcPr>
            <w:tcW w:w="2284" w:type="dxa"/>
          </w:tcPr>
          <w:p>
            <w:pPr>
              <w:spacing w:after="20" w:line="240" w:lineRule="auto"/>
              <w:jc w:val="left"/>
            </w:pPr>
            <w:r>
              <w:rPr>
                <w:sz w:val="13"/>
                <w:szCs w:val="13"/>
              </w:rPr>
              <w:t xml:space="preserve">CU-01, CU-09, CU-10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Instrumento propuesto; no aplicado</w:t>
            </w:r>
          </w:p>
        </w:tc>
      </w:tr>
      <w:tr>
        <w:trPr>
          <w:cantSplit/>
        </w:trPr>
        <w:tc>
          <w:tcPr>
            <w:tcW w:w="1343" w:type="dxa"/>
          </w:tcPr>
          <w:p>
            <w:pPr>
              <w:spacing w:after="20" w:line="240" w:lineRule="auto"/>
              <w:jc w:val="left"/>
            </w:pPr>
            <w:r>
              <w:rPr>
                <w:sz w:val="13"/>
                <w:szCs w:val="13"/>
              </w:rPr>
              <w:t xml:space="preserve">VI-D2-I1</w:t>
            </w:r>
          </w:p>
        </w:tc>
        <w:tc>
          <w:tcPr>
            <w:tcW w:w="2015" w:type="dxa"/>
          </w:tcPr>
          <w:p>
            <w:pPr>
              <w:spacing w:after="20" w:line="240" w:lineRule="auto"/>
              <w:jc w:val="left"/>
            </w:pPr>
            <w:r>
              <w:rPr>
                <w:sz w:val="13"/>
                <w:szCs w:val="13"/>
              </w:rPr>
              <w:t xml:space="preserve">RF-02, RF-03, RF-13, RF-14, RF-24, RF-25</w:t>
            </w:r>
          </w:p>
        </w:tc>
        <w:tc>
          <w:tcPr>
            <w:tcW w:w="2284" w:type="dxa"/>
          </w:tcPr>
          <w:p>
            <w:pPr>
              <w:spacing w:after="20" w:line="240" w:lineRule="auto"/>
              <w:jc w:val="left"/>
            </w:pPr>
            <w:r>
              <w:rPr>
                <w:sz w:val="13"/>
                <w:szCs w:val="13"/>
              </w:rPr>
              <w:t xml:space="preserve">CU-02, CU-03, CU-11, CU-12, CU-19, CU-20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docs/final-report/traceability-master.md</w:t>
            </w:r>
          </w:p>
        </w:tc>
      </w:tr>
      <w:tr>
        <w:trPr>
          <w:cantSplit/>
        </w:trPr>
        <w:tc>
          <w:tcPr>
            <w:tcW w:w="1343" w:type="dxa"/>
          </w:tcPr>
          <w:p>
            <w:pPr>
              <w:spacing w:after="20" w:line="240" w:lineRule="auto"/>
              <w:jc w:val="left"/>
            </w:pPr>
            <w:r>
              <w:rPr>
                <w:sz w:val="13"/>
                <w:szCs w:val="13"/>
              </w:rPr>
              <w:t xml:space="preserve">VI-D2-I2</w:t>
            </w:r>
          </w:p>
        </w:tc>
        <w:tc>
          <w:tcPr>
            <w:tcW w:w="2015" w:type="dxa"/>
          </w:tcPr>
          <w:p>
            <w:pPr>
              <w:spacing w:after="20" w:line="240" w:lineRule="auto"/>
              <w:jc w:val="left"/>
            </w:pPr>
            <w:r>
              <w:rPr>
                <w:sz w:val="13"/>
                <w:szCs w:val="13"/>
              </w:rPr>
              <w:t xml:space="preserve">RF-02, RF-03, RF-14</w:t>
            </w:r>
          </w:p>
        </w:tc>
        <w:tc>
          <w:tcPr>
            <w:tcW w:w="2284" w:type="dxa"/>
          </w:tcPr>
          <w:p>
            <w:pPr>
              <w:spacing w:after="20" w:line="240" w:lineRule="auto"/>
              <w:jc w:val="left"/>
            </w:pPr>
            <w:r>
              <w:rPr>
                <w:sz w:val="13"/>
                <w:szCs w:val="13"/>
              </w:rPr>
              <w:t xml:space="preserve">CU-02, CU-03, CU-12</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cap. 7 §7.2 (enums de estados y transiciones); pruebas de los RF</w:t>
            </w:r>
          </w:p>
        </w:tc>
      </w:tr>
      <w:tr>
        <w:trPr>
          <w:cantSplit/>
        </w:trPr>
        <w:tc>
          <w:tcPr>
            <w:tcW w:w="1343" w:type="dxa"/>
          </w:tcPr>
          <w:p>
            <w:pPr>
              <w:spacing w:after="20" w:line="240" w:lineRule="auto"/>
              <w:jc w:val="left"/>
            </w:pPr>
            <w:r>
              <w:rPr>
                <w:sz w:val="13"/>
                <w:szCs w:val="13"/>
              </w:rPr>
              <w:t xml:space="preserve">VI-D3-I1</w:t>
            </w:r>
          </w:p>
        </w:tc>
        <w:tc>
          <w:tcPr>
            <w:tcW w:w="2015" w:type="dxa"/>
          </w:tcPr>
          <w:p>
            <w:pPr>
              <w:spacing w:after="20" w:line="240" w:lineRule="auto"/>
              <w:jc w:val="left"/>
            </w:pPr>
            <w:r>
              <w:rPr>
                <w:sz w:val="13"/>
                <w:szCs w:val="13"/>
              </w:rPr>
              <w:t xml:space="preserve">RF-16, RF-17, RF-18, RF-19, RF-20, RF-21, RF-22</w:t>
            </w:r>
          </w:p>
        </w:tc>
        <w:tc>
          <w:tcPr>
            <w:tcW w:w="2284" w:type="dxa"/>
          </w:tcPr>
          <w:p>
            <w:pPr>
              <w:spacing w:after="20" w:line="240" w:lineRule="auto"/>
              <w:jc w:val="left"/>
            </w:pPr>
            <w:r>
              <w:rPr>
                <w:sz w:val="13"/>
                <w:szCs w:val="13"/>
              </w:rPr>
              <w:t xml:space="preserve">CU-13, CU-14, CU-15, CU-16, CU-17</w:t>
            </w:r>
          </w:p>
        </w:tc>
        <w:tc>
          <w:tcPr>
            <w:tcW w:w="1343" w:type="dxa"/>
          </w:tcPr>
          <w:p>
            <w:pPr>
              <w:spacing w:after="20" w:line="240" w:lineRule="auto"/>
              <w:jc w:val="left"/>
            </w:pPr>
            <w:r>
              <w:rPr>
                <w:sz w:val="13"/>
                <w:szCs w:val="13"/>
              </w:rPr>
              <w:t xml:space="preserve">RNF-10</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docs/final-report/traceability-master.md</w:t>
            </w:r>
          </w:p>
        </w:tc>
      </w:tr>
      <w:tr>
        <w:trPr>
          <w:cantSplit/>
        </w:trPr>
        <w:tc>
          <w:tcPr>
            <w:tcW w:w="1343" w:type="dxa"/>
          </w:tcPr>
          <w:p>
            <w:pPr>
              <w:spacing w:after="20" w:line="240" w:lineRule="auto"/>
              <w:jc w:val="left"/>
            </w:pPr>
            <w:r>
              <w:rPr>
                <w:sz w:val="13"/>
                <w:szCs w:val="13"/>
              </w:rPr>
              <w:t xml:space="preserve">VI-D3-I2</w:t>
            </w:r>
          </w:p>
        </w:tc>
        <w:tc>
          <w:tcPr>
            <w:tcW w:w="2015" w:type="dxa"/>
          </w:tcPr>
          <w:p>
            <w:pPr>
              <w:spacing w:after="20" w:line="240" w:lineRule="auto"/>
              <w:jc w:val="left"/>
            </w:pPr>
            <w:r>
              <w:rPr>
                <w:sz w:val="13"/>
                <w:szCs w:val="13"/>
              </w:rPr>
              <w:t xml:space="preserve">RF-21, RF-22</w:t>
            </w:r>
          </w:p>
        </w:tc>
        <w:tc>
          <w:tcPr>
            <w:tcW w:w="2284" w:type="dxa"/>
          </w:tcPr>
          <w:p>
            <w:pPr>
              <w:spacing w:after="20" w:line="240" w:lineRule="auto"/>
              <w:jc w:val="left"/>
            </w:pPr>
            <w:r>
              <w:rPr>
                <w:sz w:val="13"/>
                <w:szCs w:val="13"/>
              </w:rPr>
              <w:t xml:space="preserve">CU-17</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cap. 7 §7.8 (RankingService puro); A-23 a A-27</w:t>
            </w:r>
          </w:p>
        </w:tc>
      </w:tr>
      <w:tr>
        <w:trPr>
          <w:cantSplit/>
        </w:trPr>
        <w:tc>
          <w:tcPr>
            <w:tcW w:w="1343" w:type="dxa"/>
          </w:tcPr>
          <w:p>
            <w:pPr>
              <w:spacing w:after="20" w:line="240" w:lineRule="auto"/>
              <w:jc w:val="left"/>
            </w:pPr>
            <w:r>
              <w:rPr>
                <w:sz w:val="13"/>
                <w:szCs w:val="13"/>
              </w:rPr>
              <w:t xml:space="preserve">VI-D4-I1</w:t>
            </w:r>
          </w:p>
        </w:tc>
        <w:tc>
          <w:tcPr>
            <w:tcW w:w="2015" w:type="dxa"/>
          </w:tcPr>
          <w:p>
            <w:pPr>
              <w:spacing w:after="20" w:line="240" w:lineRule="auto"/>
              <w:jc w:val="left"/>
            </w:pPr>
            <w:r>
              <w:rPr>
                <w:sz w:val="13"/>
                <w:szCs w:val="13"/>
              </w:rPr>
              <w:t xml:space="preserve">RF-04, RF-11, RF-15, RF-17, RF-26</w:t>
            </w:r>
          </w:p>
        </w:tc>
        <w:tc>
          <w:tcPr>
            <w:tcW w:w="2284" w:type="dxa"/>
          </w:tcPr>
          <w:p>
            <w:pPr>
              <w:spacing w:after="20" w:line="240" w:lineRule="auto"/>
              <w:jc w:val="left"/>
            </w:pPr>
            <w:r>
              <w:rPr>
                <w:sz w:val="13"/>
                <w:szCs w:val="13"/>
              </w:rPr>
              <w:t xml:space="preserve">CU-03, CU-09, CU-12, CU-13, CU-20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docs/final-report/traceability-master.md</w:t>
            </w:r>
          </w:p>
        </w:tc>
      </w:tr>
      <w:tr>
        <w:trPr>
          <w:cantSplit/>
        </w:trPr>
        <w:tc>
          <w:tcPr>
            <w:tcW w:w="1343" w:type="dxa"/>
          </w:tcPr>
          <w:p>
            <w:pPr>
              <w:spacing w:after="20" w:line="240" w:lineRule="auto"/>
              <w:jc w:val="left"/>
            </w:pPr>
            <w:r>
              <w:rPr>
                <w:sz w:val="13"/>
                <w:szCs w:val="13"/>
              </w:rPr>
              <w:t xml:space="preserve">VI-D4-I2</w:t>
            </w:r>
          </w:p>
        </w:tc>
        <w:tc>
          <w:tcPr>
            <w:tcW w:w="2015" w:type="dxa"/>
          </w:tcPr>
          <w:p>
            <w:pPr>
              <w:spacing w:after="20" w:line="240" w:lineRule="auto"/>
              <w:jc w:val="left"/>
            </w:pPr>
            <w:r>
              <w:rPr>
                <w:sz w:val="13"/>
                <w:szCs w:val="13"/>
              </w:rPr>
              <w:t xml:space="preserve">RF-04, RF-11, RF-15, RF-17, RF-26</w:t>
            </w:r>
          </w:p>
        </w:tc>
        <w:tc>
          <w:tcPr>
            <w:tcW w:w="2284" w:type="dxa"/>
          </w:tcPr>
          <w:p>
            <w:pPr>
              <w:spacing w:after="20" w:line="240" w:lineRule="auto"/>
              <w:jc w:val="left"/>
            </w:pPr>
            <w:r>
              <w:rPr>
                <w:sz w:val="13"/>
                <w:szCs w:val="13"/>
              </w:rPr>
              <w:t xml:space="preserve">CU-03, CU-09, CU-12, CU-13, CU-20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cap. 7 §7.6 (afterCommit, cola Redis)</w:t>
            </w:r>
          </w:p>
        </w:tc>
      </w:tr>
      <w:tr>
        <w:trPr>
          <w:cantSplit/>
        </w:trPr>
        <w:tc>
          <w:tcPr>
            <w:tcW w:w="1343" w:type="dxa"/>
          </w:tcPr>
          <w:p>
            <w:pPr>
              <w:spacing w:after="20" w:line="240" w:lineRule="auto"/>
              <w:jc w:val="left"/>
            </w:pPr>
            <w:r>
              <w:rPr>
                <w:sz w:val="13"/>
                <w:szCs w:val="13"/>
              </w:rPr>
              <w:t xml:space="preserve">VI-D5-I1</w:t>
            </w:r>
          </w:p>
        </w:tc>
        <w:tc>
          <w:tcPr>
            <w:tcW w:w="2015" w:type="dxa"/>
          </w:tcPr>
          <w:p>
            <w:pPr>
              <w:spacing w:after="20" w:line="240" w:lineRule="auto"/>
              <w:jc w:val="left"/>
            </w:pPr>
            <w:r>
              <w:rPr>
                <w:sz w:val="13"/>
                <w:szCs w:val="13"/>
              </w:rPr>
              <w:t xml:space="preserve">RF-23</w:t>
            </w:r>
          </w:p>
        </w:tc>
        <w:tc>
          <w:tcPr>
            <w:tcW w:w="2284" w:type="dxa"/>
          </w:tcPr>
          <w:p>
            <w:pPr>
              <w:spacing w:after="20" w:line="240" w:lineRule="auto"/>
              <w:jc w:val="left"/>
            </w:pPr>
            <w:r>
              <w:rPr>
                <w:sz w:val="13"/>
                <w:szCs w:val="13"/>
              </w:rPr>
              <w:t xml:space="preserve">CU-18</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cap. 7 §7.4 y §7.8 (VacancyPolicy::decide, FinalDecisionRequest); A-27; ADR-002</w:t>
            </w:r>
          </w:p>
        </w:tc>
      </w:tr>
      <w:tr>
        <w:trPr>
          <w:cantSplit/>
        </w:trPr>
        <w:tc>
          <w:tcPr>
            <w:tcW w:w="1343" w:type="dxa"/>
          </w:tcPr>
          <w:p>
            <w:pPr>
              <w:spacing w:after="20" w:line="240" w:lineRule="auto"/>
              <w:jc w:val="left"/>
            </w:pPr>
            <w:r>
              <w:rPr>
                <w:sz w:val="13"/>
                <w:szCs w:val="13"/>
              </w:rPr>
              <w:t xml:space="preserve">VI-D5-I2</w:t>
            </w:r>
          </w:p>
        </w:tc>
        <w:tc>
          <w:tcPr>
            <w:tcW w:w="2015" w:type="dxa"/>
          </w:tcPr>
          <w:p>
            <w:pPr>
              <w:spacing w:after="20" w:line="240" w:lineRule="auto"/>
              <w:jc w:val="left"/>
            </w:pPr>
            <w:r>
              <w:rPr>
                <w:sz w:val="13"/>
                <w:szCs w:val="13"/>
              </w:rPr>
              <w:t xml:space="preserve">RF-08, RF-27</w:t>
            </w:r>
          </w:p>
        </w:tc>
        <w:tc>
          <w:tcPr>
            <w:tcW w:w="2284" w:type="dxa"/>
          </w:tcPr>
          <w:p>
            <w:pPr>
              <w:spacing w:after="20" w:line="240" w:lineRule="auto"/>
              <w:jc w:val="left"/>
            </w:pPr>
            <w:r>
              <w:rPr>
                <w:sz w:val="13"/>
                <w:szCs w:val="13"/>
              </w:rPr>
              <w:t xml:space="preserve">CU-07</w:t>
            </w:r>
          </w:p>
        </w:tc>
        <w:tc>
          <w:tcPr>
            <w:tcW w:w="1343" w:type="dxa"/>
          </w:tcPr>
          <w:p>
            <w:pPr>
              <w:spacing w:after="20" w:line="240" w:lineRule="auto"/>
              <w:jc w:val="left"/>
            </w:pPr>
            <w:r>
              <w:rPr>
                <w:sz w:val="13"/>
                <w:szCs w:val="13"/>
              </w:rPr>
              <w:t xml:space="preserve">RNF-01, RNF-02, RNF-03, RNF-04</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cap. 7 §7.3 y §7.7; CandidateRegistrationTest; AuthenticationTest; CrossTenantAccessTest; E2E-11</w:t>
            </w:r>
          </w:p>
        </w:tc>
      </w:tr>
      <w:tr>
        <w:trPr>
          <w:cantSplit/>
        </w:trPr>
        <w:tc>
          <w:tcPr>
            <w:tcW w:w="1343" w:type="dxa"/>
          </w:tcPr>
          <w:p>
            <w:pPr>
              <w:spacing w:after="20" w:line="240" w:lineRule="auto"/>
              <w:jc w:val="left"/>
            </w:pPr>
            <w:r>
              <w:rPr>
                <w:sz w:val="13"/>
                <w:szCs w:val="13"/>
              </w:rPr>
              <w:t xml:space="preserve">VD-D1-I1</w:t>
            </w:r>
          </w:p>
        </w:tc>
        <w:tc>
          <w:tcPr>
            <w:tcW w:w="2015" w:type="dxa"/>
          </w:tcPr>
          <w:p>
            <w:pPr>
              <w:spacing w:after="20" w:line="240" w:lineRule="auto"/>
              <w:jc w:val="left"/>
            </w:pPr>
            <w:r>
              <w:rPr>
                <w:sz w:val="13"/>
                <w:szCs w:val="13"/>
              </w:rPr>
              <w:t xml:space="preserve">RF-01, RF-05, RF-09, RF-10</w:t>
            </w:r>
          </w:p>
        </w:tc>
        <w:tc>
          <w:tcPr>
            <w:tcW w:w="2284" w:type="dxa"/>
          </w:tcPr>
          <w:p>
            <w:pPr>
              <w:spacing w:after="20" w:line="240" w:lineRule="auto"/>
              <w:jc w:val="left"/>
            </w:pPr>
            <w:r>
              <w:rPr>
                <w:sz w:val="13"/>
                <w:szCs w:val="13"/>
              </w:rPr>
              <w:t xml:space="preserve">CU-01, CU-04, CU-08, CU-09</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ML-FEAT-05</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F4 (P1); F5 (OM-01, S-01); feature-contract.md</w:t>
            </w:r>
          </w:p>
        </w:tc>
      </w:tr>
      <w:tr>
        <w:trPr>
          <w:cantSplit/>
        </w:trPr>
        <w:tc>
          <w:tcPr>
            <w:tcW w:w="1343" w:type="dxa"/>
          </w:tcPr>
          <w:p>
            <w:pPr>
              <w:spacing w:after="20" w:line="240" w:lineRule="auto"/>
              <w:jc w:val="left"/>
            </w:pPr>
            <w:r>
              <w:rPr>
                <w:sz w:val="13"/>
                <w:szCs w:val="13"/>
              </w:rPr>
              <w:t xml:space="preserve">VD-D1-I2</w:t>
            </w:r>
          </w:p>
        </w:tc>
        <w:tc>
          <w:tcPr>
            <w:tcW w:w="2015" w:type="dxa"/>
          </w:tcPr>
          <w:p>
            <w:pPr>
              <w:spacing w:after="20" w:line="240" w:lineRule="auto"/>
              <w:jc w:val="left"/>
            </w:pPr>
            <w:r>
              <w:rPr>
                <w:sz w:val="13"/>
                <w:szCs w:val="13"/>
              </w:rPr>
              <w:t xml:space="preserve">RF-01, RF-10</w:t>
            </w:r>
          </w:p>
        </w:tc>
        <w:tc>
          <w:tcPr>
            <w:tcW w:w="2284" w:type="dxa"/>
          </w:tcPr>
          <w:p>
            <w:pPr>
              <w:spacing w:after="20" w:line="240" w:lineRule="auto"/>
              <w:jc w:val="left"/>
            </w:pPr>
            <w:r>
              <w:rPr>
                <w:sz w:val="13"/>
                <w:szCs w:val="13"/>
              </w:rPr>
              <w:t xml:space="preserve">CU-01, CU-09</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F4 (P1): problema AS-IS preliminar, sin línea base medida</w:t>
            </w:r>
          </w:p>
        </w:tc>
      </w:tr>
      <w:tr>
        <w:trPr>
          <w:cantSplit/>
        </w:trPr>
        <w:tc>
          <w:tcPr>
            <w:tcW w:w="1343" w:type="dxa"/>
          </w:tcPr>
          <w:p>
            <w:pPr>
              <w:spacing w:after="20" w:line="240" w:lineRule="auto"/>
              <w:jc w:val="left"/>
            </w:pPr>
            <w:r>
              <w:rPr>
                <w:sz w:val="13"/>
                <w:szCs w:val="13"/>
              </w:rPr>
              <w:t xml:space="preserve">VD-D2-I1</w:t>
            </w:r>
          </w:p>
        </w:tc>
        <w:tc>
          <w:tcPr>
            <w:tcW w:w="2015" w:type="dxa"/>
          </w:tcPr>
          <w:p>
            <w:pPr>
              <w:spacing w:after="20" w:line="240" w:lineRule="auto"/>
              <w:jc w:val="left"/>
            </w:pPr>
            <w:r>
              <w:rPr>
                <w:sz w:val="13"/>
                <w:szCs w:val="13"/>
              </w:rPr>
              <w:t xml:space="preserve">RF-02, RF-03, RF-13, RF-14</w:t>
            </w:r>
          </w:p>
        </w:tc>
        <w:tc>
          <w:tcPr>
            <w:tcW w:w="2284" w:type="dxa"/>
          </w:tcPr>
          <w:p>
            <w:pPr>
              <w:spacing w:after="20" w:line="240" w:lineRule="auto"/>
              <w:jc w:val="left"/>
            </w:pPr>
            <w:r>
              <w:rPr>
                <w:sz w:val="13"/>
                <w:szCs w:val="13"/>
              </w:rPr>
              <w:t xml:space="preserve">CU-02, CU-03, CU-11, CU-12</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ML-FEAT-16</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F4 (P2); F5 (OM-02, S-02); feature-contract.md</w:t>
            </w:r>
          </w:p>
        </w:tc>
      </w:tr>
      <w:tr>
        <w:trPr>
          <w:cantSplit/>
        </w:trPr>
        <w:tc>
          <w:tcPr>
            <w:tcW w:w="1343" w:type="dxa"/>
          </w:tcPr>
          <w:p>
            <w:pPr>
              <w:spacing w:after="20" w:line="240" w:lineRule="auto"/>
              <w:jc w:val="left"/>
            </w:pPr>
            <w:r>
              <w:rPr>
                <w:sz w:val="13"/>
                <w:szCs w:val="13"/>
              </w:rPr>
              <w:t xml:space="preserve">VD-D2-I2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ML-FEAT-01, ML-FEAT-02, ML-FEAT-17</w:t>
            </w:r>
          </w:p>
        </w:tc>
        <w:tc>
          <w:tcPr>
            <w:tcW w:w="1746" w:type="dxa"/>
          </w:tcPr>
          <w:p>
            <w:pPr>
              <w:spacing w:after="20" w:line="240" w:lineRule="auto"/>
              <w:jc w:val="left"/>
            </w:pPr>
            <w:r>
              <w:rPr>
                <w:sz w:val="13"/>
                <w:szCs w:val="13"/>
              </w:rPr>
              <w:t xml:space="preserve">TO-BE PROPUESTO · uso predictivo EXPERIMENTAL / PROPUESTO</w:t>
            </w:r>
          </w:p>
        </w:tc>
        <w:tc>
          <w:tcPr>
            <w:tcW w:w="2690" w:type="dxa"/>
          </w:tcPr>
          <w:p>
            <w:pPr>
              <w:spacing w:after="20" w:line="240" w:lineRule="auto"/>
              <w:jc w:val="left"/>
            </w:pPr>
            <w:r>
              <w:rPr>
                <w:sz w:val="13"/>
                <w:szCs w:val="13"/>
              </w:rPr>
              <w:t xml:space="preserve">docs/v1.1/ml/problem-definition.md (ML-PROBLEM-01) y feature-contract.md</w:t>
            </w:r>
          </w:p>
        </w:tc>
      </w:tr>
      <w:tr>
        <w:trPr>
          <w:cantSplit/>
        </w:trPr>
        <w:tc>
          <w:tcPr>
            <w:tcW w:w="1343" w:type="dxa"/>
          </w:tcPr>
          <w:p>
            <w:pPr>
              <w:spacing w:after="20" w:line="240" w:lineRule="auto"/>
              <w:jc w:val="left"/>
            </w:pPr>
            <w:r>
              <w:rPr>
                <w:sz w:val="13"/>
                <w:szCs w:val="13"/>
              </w:rPr>
              <w:t xml:space="preserve">VD-D2-I3</w:t>
            </w:r>
          </w:p>
        </w:tc>
        <w:tc>
          <w:tcPr>
            <w:tcW w:w="2015" w:type="dxa"/>
          </w:tcPr>
          <w:p>
            <w:pPr>
              <w:spacing w:after="20" w:line="240" w:lineRule="auto"/>
              <w:jc w:val="left"/>
            </w:pPr>
            <w:r>
              <w:rPr>
                <w:sz w:val="13"/>
                <w:szCs w:val="13"/>
              </w:rPr>
              <w:t xml:space="preserve">RF-05, RF-07</w:t>
            </w:r>
          </w:p>
        </w:tc>
        <w:tc>
          <w:tcPr>
            <w:tcW w:w="2284" w:type="dxa"/>
          </w:tcPr>
          <w:p>
            <w:pPr>
              <w:spacing w:after="20" w:line="240" w:lineRule="auto"/>
              <w:jc w:val="left"/>
            </w:pPr>
            <w:r>
              <w:rPr>
                <w:sz w:val="13"/>
                <w:szCs w:val="13"/>
              </w:rPr>
              <w:t xml:space="preserve">CU-04, CU-06</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ML-FEAT-03, ML-FEAT-04, ML-FEAT-18</w:t>
            </w:r>
          </w:p>
        </w:tc>
        <w:tc>
          <w:tcPr>
            <w:tcW w:w="1746" w:type="dxa"/>
          </w:tcPr>
          <w:p>
            <w:pPr>
              <w:spacing w:after="20" w:line="240" w:lineRule="auto"/>
              <w:jc w:val="left"/>
            </w:pPr>
            <w:r>
              <w:rPr>
                <w:sz w:val="13"/>
                <w:szCs w:val="13"/>
              </w:rPr>
              <w:t xml:space="preserve">TO-BE PROPUESTO · uso predictivo EXPERIMENTAL / PROPUESTO</w:t>
            </w:r>
          </w:p>
        </w:tc>
        <w:tc>
          <w:tcPr>
            <w:tcW w:w="2690" w:type="dxa"/>
          </w:tcPr>
          <w:p>
            <w:pPr>
              <w:spacing w:after="20" w:line="240" w:lineRule="auto"/>
              <w:jc w:val="left"/>
            </w:pPr>
            <w:r>
              <w:rPr>
                <w:sz w:val="13"/>
                <w:szCs w:val="13"/>
              </w:rPr>
              <w:t xml:space="preserve">feature-contract.md</w:t>
            </w:r>
          </w:p>
        </w:tc>
      </w:tr>
      <w:tr>
        <w:trPr>
          <w:cantSplit/>
        </w:trPr>
        <w:tc>
          <w:tcPr>
            <w:tcW w:w="1343" w:type="dxa"/>
          </w:tcPr>
          <w:p>
            <w:pPr>
              <w:spacing w:after="20" w:line="240" w:lineRule="auto"/>
              <w:jc w:val="left"/>
            </w:pPr>
            <w:r>
              <w:rPr>
                <w:sz w:val="13"/>
                <w:szCs w:val="13"/>
              </w:rPr>
              <w:t xml:space="preserve">VD-D3-I1</w:t>
            </w:r>
          </w:p>
        </w:tc>
        <w:tc>
          <w:tcPr>
            <w:tcW w:w="2015" w:type="dxa"/>
          </w:tcPr>
          <w:p>
            <w:pPr>
              <w:spacing w:after="20" w:line="240" w:lineRule="auto"/>
              <w:jc w:val="left"/>
            </w:pPr>
            <w:r>
              <w:rPr>
                <w:sz w:val="13"/>
                <w:szCs w:val="13"/>
              </w:rPr>
              <w:t xml:space="preserve">RF-05, RF-16, RF-19, RF-20</w:t>
            </w:r>
          </w:p>
        </w:tc>
        <w:tc>
          <w:tcPr>
            <w:tcW w:w="2284" w:type="dxa"/>
          </w:tcPr>
          <w:p>
            <w:pPr>
              <w:spacing w:after="20" w:line="240" w:lineRule="auto"/>
              <w:jc w:val="left"/>
            </w:pPr>
            <w:r>
              <w:rPr>
                <w:sz w:val="13"/>
                <w:szCs w:val="13"/>
              </w:rPr>
              <w:t xml:space="preserve">CU-04, CU-13, CU-15, CU-16</w:t>
            </w:r>
          </w:p>
        </w:tc>
        <w:tc>
          <w:tcPr>
            <w:tcW w:w="1343" w:type="dxa"/>
          </w:tcPr>
          <w:p>
            <w:pPr>
              <w:spacing w:after="20" w:line="240" w:lineRule="auto"/>
              <w:jc w:val="left"/>
            </w:pPr>
            <w:r>
              <w:rPr>
                <w:sz w:val="13"/>
                <w:szCs w:val="13"/>
              </w:rPr>
              <w:t xml:space="preserve">RNF-10</w:t>
            </w:r>
          </w:p>
        </w:tc>
        <w:tc>
          <w:tcPr>
            <w:tcW w:w="2015" w:type="dxa"/>
          </w:tcPr>
          <w:p>
            <w:pPr>
              <w:spacing w:after="20" w:line="240" w:lineRule="auto"/>
              <w:jc w:val="left"/>
            </w:pPr>
            <w:r>
              <w:rPr>
                <w:sz w:val="13"/>
                <w:szCs w:val="13"/>
              </w:rPr>
              <w:t xml:space="preserve">ML-FEAT-06</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F4 (P3); F5 (OM-03, S-03); feature-contract.md</w:t>
            </w:r>
          </w:p>
        </w:tc>
      </w:tr>
      <w:tr>
        <w:trPr>
          <w:cantSplit/>
        </w:trPr>
        <w:tc>
          <w:tcPr>
            <w:tcW w:w="1343" w:type="dxa"/>
          </w:tcPr>
          <w:p>
            <w:pPr>
              <w:spacing w:after="20" w:line="240" w:lineRule="auto"/>
              <w:jc w:val="left"/>
            </w:pPr>
            <w:r>
              <w:rPr>
                <w:sz w:val="13"/>
                <w:szCs w:val="13"/>
              </w:rPr>
              <w:t xml:space="preserve">VD-D3-I2</w:t>
            </w:r>
          </w:p>
        </w:tc>
        <w:tc>
          <w:tcPr>
            <w:tcW w:w="2015" w:type="dxa"/>
          </w:tcPr>
          <w:p>
            <w:pPr>
              <w:spacing w:after="20" w:line="240" w:lineRule="auto"/>
              <w:jc w:val="left"/>
            </w:pPr>
            <w:r>
              <w:rPr>
                <w:sz w:val="13"/>
                <w:szCs w:val="13"/>
              </w:rPr>
              <w:t xml:space="preserve">RF-16, RF-17, RF-18, RF-19</w:t>
            </w:r>
          </w:p>
        </w:tc>
        <w:tc>
          <w:tcPr>
            <w:tcW w:w="2284" w:type="dxa"/>
          </w:tcPr>
          <w:p>
            <w:pPr>
              <w:spacing w:after="20" w:line="240" w:lineRule="auto"/>
              <w:jc w:val="left"/>
            </w:pPr>
            <w:r>
              <w:rPr>
                <w:sz w:val="13"/>
                <w:szCs w:val="13"/>
              </w:rPr>
              <w:t xml:space="preserve">CU-13, CU-14, CU-15</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ML-FEAT-08, ML-FEAT-09, ML-FEAT-11, ML-FEAT-12, ML-FEAT-13, ML-FEAT-15</w:t>
            </w:r>
          </w:p>
        </w:tc>
        <w:tc>
          <w:tcPr>
            <w:tcW w:w="1746" w:type="dxa"/>
          </w:tcPr>
          <w:p>
            <w:pPr>
              <w:spacing w:after="20" w:line="240" w:lineRule="auto"/>
              <w:jc w:val="left"/>
            </w:pPr>
            <w:r>
              <w:rPr>
                <w:sz w:val="13"/>
                <w:szCs w:val="13"/>
              </w:rPr>
              <w:t xml:space="preserve">TO-BE PROPUESTO · uso predictivo EXPERIMENTAL / PROPUESTO</w:t>
            </w:r>
          </w:p>
        </w:tc>
        <w:tc>
          <w:tcPr>
            <w:tcW w:w="2690" w:type="dxa"/>
          </w:tcPr>
          <w:p>
            <w:pPr>
              <w:spacing w:after="20" w:line="240" w:lineRule="auto"/>
              <w:jc w:val="left"/>
            </w:pPr>
            <w:r>
              <w:rPr>
                <w:sz w:val="13"/>
                <w:szCs w:val="13"/>
              </w:rPr>
              <w:t xml:space="preserve">feature-contract.md</w:t>
            </w:r>
          </w:p>
        </w:tc>
      </w:tr>
      <w:tr>
        <w:trPr>
          <w:cantSplit/>
        </w:trPr>
        <w:tc>
          <w:tcPr>
            <w:tcW w:w="1343" w:type="dxa"/>
          </w:tcPr>
          <w:p>
            <w:pPr>
              <w:spacing w:after="20" w:line="240" w:lineRule="auto"/>
              <w:jc w:val="left"/>
            </w:pPr>
            <w:r>
              <w:rPr>
                <w:sz w:val="13"/>
                <w:szCs w:val="13"/>
              </w:rPr>
              <w:t xml:space="preserve">VD-D4-I1</w:t>
            </w:r>
          </w:p>
        </w:tc>
        <w:tc>
          <w:tcPr>
            <w:tcW w:w="2015" w:type="dxa"/>
          </w:tcPr>
          <w:p>
            <w:pPr>
              <w:spacing w:after="20" w:line="240" w:lineRule="auto"/>
              <w:jc w:val="left"/>
            </w:pPr>
            <w:r>
              <w:rPr>
                <w:sz w:val="13"/>
                <w:szCs w:val="13"/>
              </w:rPr>
              <w:t xml:space="preserve">RF-04, RF-11, RF-15, RF-17, RF-26</w:t>
            </w:r>
          </w:p>
        </w:tc>
        <w:tc>
          <w:tcPr>
            <w:tcW w:w="2284" w:type="dxa"/>
          </w:tcPr>
          <w:p>
            <w:pPr>
              <w:spacing w:after="20" w:line="240" w:lineRule="auto"/>
              <w:jc w:val="left"/>
            </w:pPr>
            <w:r>
              <w:rPr>
                <w:sz w:val="13"/>
                <w:szCs w:val="13"/>
              </w:rPr>
              <w:t xml:space="preserve">CU-03, CU-09, CU-12, CU-13, CU-20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F4 (P4); F5 (OM-04, S-04)</w:t>
            </w:r>
          </w:p>
        </w:tc>
      </w:tr>
      <w:tr>
        <w:trPr>
          <w:cantSplit/>
        </w:trPr>
        <w:tc>
          <w:tcPr>
            <w:tcW w:w="1343" w:type="dxa"/>
          </w:tcPr>
          <w:p>
            <w:pPr>
              <w:spacing w:after="20" w:line="240" w:lineRule="auto"/>
              <w:jc w:val="left"/>
            </w:pPr>
            <w:r>
              <w:rPr>
                <w:sz w:val="13"/>
                <w:szCs w:val="13"/>
              </w:rPr>
              <w:t xml:space="preserve">VD-D4-I2</w:t>
            </w:r>
          </w:p>
        </w:tc>
        <w:tc>
          <w:tcPr>
            <w:tcW w:w="2015" w:type="dxa"/>
          </w:tcPr>
          <w:p>
            <w:pPr>
              <w:spacing w:after="20" w:line="240" w:lineRule="auto"/>
              <w:jc w:val="left"/>
            </w:pPr>
            <w:r>
              <w:rPr>
                <w:sz w:val="13"/>
                <w:szCs w:val="13"/>
              </w:rPr>
              <w:t xml:space="preserve">RF-15, RF-26</w:t>
            </w:r>
          </w:p>
        </w:tc>
        <w:tc>
          <w:tcPr>
            <w:tcW w:w="2284" w:type="dxa"/>
          </w:tcPr>
          <w:p>
            <w:pPr>
              <w:spacing w:after="20" w:line="240" w:lineRule="auto"/>
              <w:jc w:val="left"/>
            </w:pPr>
            <w:r>
              <w:rPr>
                <w:sz w:val="13"/>
                <w:szCs w:val="13"/>
              </w:rPr>
              <w:t xml:space="preserve">CU-12, CU-20</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Instrumento propuesto; no aplicado</w:t>
            </w:r>
          </w:p>
        </w:tc>
      </w:tr>
      <w:tr>
        <w:trPr>
          <w:cantSplit/>
        </w:trPr>
        <w:tc>
          <w:tcPr>
            <w:tcW w:w="1343" w:type="dxa"/>
          </w:tcPr>
          <w:p>
            <w:pPr>
              <w:spacing w:after="20" w:line="240" w:lineRule="auto"/>
              <w:jc w:val="left"/>
            </w:pPr>
            <w:r>
              <w:rPr>
                <w:sz w:val="13"/>
                <w:szCs w:val="13"/>
              </w:rPr>
              <w:t xml:space="preserve">VD-D5-I1</w:t>
            </w:r>
          </w:p>
        </w:tc>
        <w:tc>
          <w:tcPr>
            <w:tcW w:w="2015" w:type="dxa"/>
          </w:tcPr>
          <w:p>
            <w:pPr>
              <w:spacing w:after="20" w:line="240" w:lineRule="auto"/>
              <w:jc w:val="left"/>
            </w:pPr>
            <w:r>
              <w:rPr>
                <w:sz w:val="13"/>
                <w:szCs w:val="13"/>
              </w:rPr>
              <w:t xml:space="preserve">RF-21, RF-22, RF-23, RF-27</w:t>
            </w:r>
          </w:p>
        </w:tc>
        <w:tc>
          <w:tcPr>
            <w:tcW w:w="2284" w:type="dxa"/>
          </w:tcPr>
          <w:p>
            <w:pPr>
              <w:spacing w:after="20" w:line="240" w:lineRule="auto"/>
              <w:jc w:val="left"/>
            </w:pPr>
            <w:r>
              <w:rPr>
                <w:sz w:val="13"/>
                <w:szCs w:val="13"/>
              </w:rPr>
              <w:t xml:space="preserve">CU-17, CU-18</w:t>
            </w:r>
          </w:p>
        </w:tc>
        <w:tc>
          <w:tcPr>
            <w:tcW w:w="1343" w:type="dxa"/>
          </w:tcPr>
          <w:p>
            <w:pPr>
              <w:spacing w:after="20" w:line="240" w:lineRule="auto"/>
              <w:jc w:val="left"/>
            </w:pPr>
            <w:r>
              <w:rPr>
                <w:sz w:val="13"/>
                <w:szCs w:val="13"/>
              </w:rPr>
              <w:t xml:space="preserve">RNF-03</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F4 (P5); F5 (OM-05, S-05)</w:t>
            </w:r>
          </w:p>
        </w:tc>
      </w:tr>
      <w:tr>
        <w:trPr>
          <w:cantSplit/>
        </w:trPr>
        <w:tc>
          <w:tcPr>
            <w:tcW w:w="1343" w:type="dxa"/>
          </w:tcPr>
          <w:p>
            <w:pPr>
              <w:spacing w:after="20" w:line="240" w:lineRule="auto"/>
              <w:jc w:val="left"/>
            </w:pPr>
            <w:r>
              <w:rPr>
                <w:sz w:val="13"/>
                <w:szCs w:val="13"/>
              </w:rPr>
              <w:t xml:space="preserve">VD-D5-I2</w:t>
            </w:r>
          </w:p>
        </w:tc>
        <w:tc>
          <w:tcPr>
            <w:tcW w:w="2015" w:type="dxa"/>
          </w:tcPr>
          <w:p>
            <w:pPr>
              <w:spacing w:after="20" w:line="240" w:lineRule="auto"/>
              <w:jc w:val="left"/>
            </w:pPr>
            <w:r>
              <w:rPr>
                <w:sz w:val="13"/>
                <w:szCs w:val="13"/>
              </w:rPr>
              <w:t xml:space="preserve">RF-22, RF-23</w:t>
            </w:r>
          </w:p>
        </w:tc>
        <w:tc>
          <w:tcPr>
            <w:tcW w:w="2284" w:type="dxa"/>
          </w:tcPr>
          <w:p>
            <w:pPr>
              <w:spacing w:after="20" w:line="240" w:lineRule="auto"/>
              <w:jc w:val="left"/>
            </w:pPr>
            <w:r>
              <w:rPr>
                <w:sz w:val="13"/>
                <w:szCs w:val="13"/>
              </w:rPr>
              <w:t xml:space="preserve">CU-17, CU-18</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TO-BE PROPUESTO</w:t>
            </w:r>
          </w:p>
        </w:tc>
        <w:tc>
          <w:tcPr>
            <w:tcW w:w="2690" w:type="dxa"/>
          </w:tcPr>
          <w:p>
            <w:pPr>
              <w:spacing w:after="20" w:line="240" w:lineRule="auto"/>
              <w:jc w:val="left"/>
            </w:pPr>
            <w:r>
              <w:rPr>
                <w:sz w:val="13"/>
                <w:szCs w:val="13"/>
              </w:rPr>
              <w:t xml:space="preserve">Instrumento propuesto; no aplicado</w:t>
            </w:r>
          </w:p>
        </w:tc>
      </w:tr>
      <w:tr>
        <w:trPr>
          <w:cantSplit/>
        </w:trPr>
        <w:tc>
          <w:tcPr>
            <w:tcW w:w="1343" w:type="dxa"/>
          </w:tcPr>
          <w:p>
            <w:pPr>
              <w:spacing w:after="20" w:line="240" w:lineRule="auto"/>
              <w:jc w:val="left"/>
            </w:pPr>
            <w:r>
              <w:rPr>
                <w:sz w:val="13"/>
                <w:szCs w:val="13"/>
              </w:rPr>
              <w:t xml:space="preserve">VIN-1-D1-I1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docs/tdd-evidence.md; docs/final-report/traceability-master.md</w:t>
            </w:r>
          </w:p>
        </w:tc>
      </w:tr>
      <w:tr>
        <w:trPr>
          <w:cantSplit/>
        </w:trPr>
        <w:tc>
          <w:tcPr>
            <w:tcW w:w="1343" w:type="dxa"/>
          </w:tcPr>
          <w:p>
            <w:pPr>
              <w:spacing w:after="20" w:line="240" w:lineRule="auto"/>
              <w:jc w:val="left"/>
            </w:pPr>
            <w:r>
              <w:rPr>
                <w:sz w:val="13"/>
                <w:szCs w:val="13"/>
              </w:rPr>
              <w:t xml:space="preserve">VIN-1-D1-I2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docs/defects.md</w:t>
            </w:r>
          </w:p>
        </w:tc>
      </w:tr>
      <w:tr>
        <w:trPr>
          <w:cantSplit/>
        </w:trPr>
        <w:tc>
          <w:tcPr>
            <w:tcW w:w="1343" w:type="dxa"/>
          </w:tcPr>
          <w:p>
            <w:pPr>
              <w:spacing w:after="20" w:line="240" w:lineRule="auto"/>
              <w:jc w:val="left"/>
            </w:pPr>
            <w:r>
              <w:rPr>
                <w:sz w:val="13"/>
                <w:szCs w:val="13"/>
              </w:rPr>
              <w:t xml:space="preserve">VIN-1-D2-I1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README.md (sección Pruebas); docs/testing/cypress-e2e.md</w:t>
            </w:r>
          </w:p>
        </w:tc>
      </w:tr>
      <w:tr>
        <w:trPr>
          <w:cantSplit/>
        </w:trPr>
        <w:tc>
          <w:tcPr>
            <w:tcW w:w="1343" w:type="dxa"/>
          </w:tcPr>
          <w:p>
            <w:pPr>
              <w:spacing w:after="20" w:line="240" w:lineRule="auto"/>
              <w:jc w:val="left"/>
            </w:pPr>
            <w:r>
              <w:rPr>
                <w:sz w:val="13"/>
                <w:szCs w:val="13"/>
              </w:rPr>
              <w:t xml:space="preserve">VIN-1-D2-I2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.github/workflows/tests.yml; GitHub Actions</w:t>
            </w:r>
          </w:p>
        </w:tc>
      </w:tr>
      <w:tr>
        <w:trPr>
          <w:cantSplit/>
        </w:trPr>
        <w:tc>
          <w:tcPr>
            <w:tcW w:w="1343" w:type="dxa"/>
          </w:tcPr>
          <w:p>
            <w:pPr>
              <w:spacing w:after="20" w:line="240" w:lineRule="auto"/>
              <w:jc w:val="left"/>
            </w:pPr>
            <w:r>
              <w:rPr>
                <w:sz w:val="13"/>
                <w:szCs w:val="13"/>
              </w:rPr>
              <w:t xml:space="preserve">VIN-2-D1-I1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RNF-01, RNF-02, RNF-03, RNF-04, RNF-05, RNF-06, RNF-07, RNF-08, RNF-09, RNF-10</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docs/academico/practica-07 (F7, columna de categoría); cap. 5</w:t>
            </w:r>
          </w:p>
        </w:tc>
      </w:tr>
      <w:tr>
        <w:trPr>
          <w:cantSplit/>
        </w:trPr>
        <w:tc>
          <w:tcPr>
            <w:tcW w:w="1343" w:type="dxa"/>
          </w:tcPr>
          <w:p>
            <w:pPr>
              <w:spacing w:after="20" w:line="240" w:lineRule="auto"/>
              <w:jc w:val="left"/>
            </w:pPr>
            <w:r>
              <w:rPr>
                <w:sz w:val="13"/>
                <w:szCs w:val="13"/>
              </w:rPr>
              <w:t xml:space="preserve">VIN-2-D1-I2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RNF-01, RNF-02, RNF-03, RNF-04, RNF-05, RNF-06, RNF-07, RNF-08, RNF-09, RNF-10</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docs/academico/practica-07 (F7)</w:t>
            </w:r>
          </w:p>
        </w:tc>
      </w:tr>
      <w:tr>
        <w:trPr>
          <w:cantSplit/>
        </w:trPr>
        <w:tc>
          <w:tcPr>
            <w:tcW w:w="1343" w:type="dxa"/>
          </w:tcPr>
          <w:p>
            <w:pPr>
              <w:spacing w:after="20" w:line="240" w:lineRule="auto"/>
              <w:jc w:val="left"/>
            </w:pPr>
            <w:r>
              <w:rPr>
                <w:sz w:val="13"/>
                <w:szCs w:val="13"/>
              </w:rPr>
              <w:t xml:space="preserve">VIN-2-D2-I1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RNF-01, RNF-02, RNF-03, RNF-04, RNF-05, RNF-06, RNF-07, RNF-08, RNF-09, RNF-10</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docs/academico/practica-07 (F7)</w:t>
            </w:r>
          </w:p>
        </w:tc>
      </w:tr>
      <w:tr>
        <w:trPr>
          <w:cantSplit/>
        </w:trPr>
        <w:tc>
          <w:tcPr>
            <w:tcW w:w="1343" w:type="dxa"/>
          </w:tcPr>
          <w:p>
            <w:pPr>
              <w:spacing w:after="20" w:line="240" w:lineRule="auto"/>
              <w:jc w:val="left"/>
            </w:pPr>
            <w:r>
              <w:rPr>
                <w:sz w:val="13"/>
                <w:szCs w:val="13"/>
              </w:rPr>
              <w:t xml:space="preserve">VIN-2-D2-I2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RNF-05, RNF-06, RNF-07</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docs/academico/practica-07 (F7); cap. 5</w:t>
            </w:r>
          </w:p>
        </w:tc>
      </w:tr>
      <w:tr>
        <w:trPr>
          <w:cantSplit/>
        </w:trPr>
        <w:tc>
          <w:tcPr>
            <w:tcW w:w="1343" w:type="dxa"/>
          </w:tcPr>
          <w:p>
            <w:pPr>
              <w:spacing w:after="20" w:line="240" w:lineRule="auto"/>
              <w:jc w:val="left"/>
            </w:pPr>
            <w:r>
              <w:rPr>
                <w:sz w:val="13"/>
                <w:szCs w:val="13"/>
              </w:rPr>
              <w:t xml:space="preserve">VIN-3-D1-I1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RNF-09</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docs/academico/practica-11 (F11 y VALIDATION.md)</w:t>
            </w:r>
          </w:p>
        </w:tc>
      </w:tr>
      <w:tr>
        <w:trPr>
          <w:cantSplit/>
        </w:trPr>
        <w:tc>
          <w:tcPr>
            <w:tcW w:w="1343" w:type="dxa"/>
          </w:tcPr>
          <w:p>
            <w:pPr>
              <w:spacing w:after="20" w:line="240" w:lineRule="auto"/>
              <w:jc w:val="left"/>
            </w:pPr>
            <w:r>
              <w:rPr>
                <w:sz w:val="13"/>
                <w:szCs w:val="13"/>
              </w:rPr>
              <w:t xml:space="preserve">VIN-3-D1-I2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RNF-09</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docs/academico/practica-11/RELATIONSHIPS.md</w:t>
            </w:r>
          </w:p>
        </w:tc>
      </w:tr>
      <w:tr>
        <w:trPr>
          <w:cantSplit/>
        </w:trPr>
        <w:tc>
          <w:tcPr>
            <w:tcW w:w="1343" w:type="dxa"/>
          </w:tcPr>
          <w:p>
            <w:pPr>
              <w:spacing w:after="20" w:line="240" w:lineRule="auto"/>
              <w:jc w:val="left"/>
            </w:pPr>
            <w:r>
              <w:rPr>
                <w:sz w:val="13"/>
                <w:szCs w:val="13"/>
              </w:rPr>
              <w:t xml:space="preserve">VIN-3-D2-I1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RNF-02</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cap. 7 §7.3; tests/Feature/Tenancy</w:t>
            </w:r>
          </w:p>
        </w:tc>
      </w:tr>
      <w:tr>
        <w:trPr>
          <w:cantSplit/>
        </w:trPr>
        <w:tc>
          <w:tcPr>
            <w:tcW w:w="1343" w:type="dxa"/>
          </w:tcPr>
          <w:p>
            <w:pPr>
              <w:spacing w:after="20" w:line="240" w:lineRule="auto"/>
              <w:jc w:val="left"/>
            </w:pPr>
            <w:r>
              <w:rPr>
                <w:sz w:val="13"/>
                <w:szCs w:val="13"/>
              </w:rPr>
              <w:t xml:space="preserve">VIN-3-D2-I2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HECHO VERIFICADO</w:t>
            </w:r>
          </w:p>
        </w:tc>
        <w:tc>
          <w:tcPr>
            <w:tcW w:w="2690" w:type="dxa"/>
          </w:tcPr>
          <w:p>
            <w:pPr>
              <w:spacing w:after="20" w:line="240" w:lineRule="auto"/>
              <w:jc w:val="left"/>
            </w:pPr>
            <w:r>
              <w:rPr>
                <w:sz w:val="13"/>
                <w:szCs w:val="13"/>
              </w:rPr>
              <w:t xml:space="preserve">docker-compose.yml; docs/docker.md; A-36</w:t>
            </w:r>
          </w:p>
        </w:tc>
      </w:tr>
      <w:tr>
        <w:trPr>
          <w:cantSplit/>
        </w:trPr>
        <w:tc>
          <w:tcPr>
            <w:tcW w:w="1343" w:type="dxa"/>
          </w:tcPr>
          <w:p>
            <w:pPr>
              <w:spacing w:after="20" w:line="240" w:lineRule="auto"/>
              <w:jc w:val="left"/>
            </w:pPr>
            <w:r>
              <w:rPr>
                <w:sz w:val="13"/>
                <w:szCs w:val="13"/>
              </w:rPr>
              <w:t xml:space="preserve">VIN-4-D1-I1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ML-FEAT-01, ML-FEAT-02, ML-FEAT-03, ML-FEAT-04, ML-FEAT-05, ML-FEAT-06, ML-FEAT-08, ML-FEAT-09, ML-FEAT-11, ML-FEAT-12, ML-FEAT-13, ML-FEAT-15, ML-FEAT-16, ML-FEAT-17, ML-FEAT-18</w:t>
            </w:r>
          </w:p>
        </w:tc>
        <w:tc>
          <w:tcPr>
            <w:tcW w:w="1746" w:type="dxa"/>
          </w:tcPr>
          <w:p>
            <w:pPr>
              <w:spacing w:after="20" w:line="240" w:lineRule="auto"/>
              <w:jc w:val="left"/>
            </w:pPr>
            <w:r>
              <w:rPr>
                <w:sz w:val="13"/>
                <w:szCs w:val="13"/>
              </w:rPr>
              <w:t xml:space="preserve">EXPERIMENTAL / PROPUESTO</w:t>
            </w:r>
          </w:p>
        </w:tc>
        <w:tc>
          <w:tcPr>
            <w:tcW w:w="2690" w:type="dxa"/>
          </w:tcPr>
          <w:p>
            <w:pPr>
              <w:spacing w:after="20" w:line="240" w:lineRule="auto"/>
              <w:jc w:val="left"/>
            </w:pPr>
            <w:r>
              <w:rPr>
                <w:sz w:val="13"/>
                <w:szCs w:val="13"/>
              </w:rPr>
              <w:t xml:space="preserve">docs/v1.1/ml/feature-contract.md</w:t>
            </w:r>
          </w:p>
        </w:tc>
      </w:tr>
      <w:tr>
        <w:trPr>
          <w:cantSplit/>
        </w:trPr>
        <w:tc>
          <w:tcPr>
            <w:tcW w:w="1343" w:type="dxa"/>
          </w:tcPr>
          <w:p>
            <w:pPr>
              <w:spacing w:after="20" w:line="240" w:lineRule="auto"/>
              <w:jc w:val="left"/>
            </w:pPr>
            <w:r>
              <w:rPr>
                <w:sz w:val="13"/>
                <w:szCs w:val="13"/>
              </w:rPr>
              <w:t xml:space="preserve">VIN-4-D1-I2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EXPERIMENTAL / PROPUESTO</w:t>
            </w:r>
          </w:p>
        </w:tc>
        <w:tc>
          <w:tcPr>
            <w:tcW w:w="2690" w:type="dxa"/>
          </w:tcPr>
          <w:p>
            <w:pPr>
              <w:spacing w:after="20" w:line="240" w:lineRule="auto"/>
              <w:jc w:val="left"/>
            </w:pPr>
            <w:r>
              <w:rPr>
                <w:sz w:val="13"/>
                <w:szCs w:val="13"/>
              </w:rPr>
              <w:t xml:space="preserve">docs/v1.1/ml/dataset-specification.md; docs/v1.1/ml/problem-definition.md</w:t>
            </w:r>
          </w:p>
        </w:tc>
      </w:tr>
      <w:tr>
        <w:trPr>
          <w:cantSplit/>
        </w:trPr>
        <w:tc>
          <w:tcPr>
            <w:tcW w:w="1343" w:type="dxa"/>
          </w:tcPr>
          <w:p>
            <w:pPr>
              <w:spacing w:after="20" w:line="240" w:lineRule="auto"/>
              <w:jc w:val="left"/>
            </w:pPr>
            <w:r>
              <w:rPr>
                <w:sz w:val="13"/>
                <w:szCs w:val="13"/>
              </w:rPr>
              <w:t xml:space="preserve">VIN-4-D2-I1</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EXPERIMENTAL / PROPUESTO</w:t>
            </w:r>
          </w:p>
        </w:tc>
        <w:tc>
          <w:tcPr>
            <w:tcW w:w="2690" w:type="dxa"/>
          </w:tcPr>
          <w:p>
            <w:pPr>
              <w:spacing w:after="20" w:line="240" w:lineRule="auto"/>
              <w:jc w:val="left"/>
            </w:pPr>
            <w:r>
              <w:rPr>
                <w:sz w:val="13"/>
                <w:szCs w:val="13"/>
              </w:rPr>
              <w:t xml:space="preserve">ADR-001; ADR-004; docs/v1.1/phase-16-laravel-ml-integration.md</w:t>
            </w:r>
          </w:p>
        </w:tc>
      </w:tr>
      <w:tr>
        <w:trPr>
          <w:cantSplit/>
        </w:trPr>
        <w:tc>
          <w:tcPr>
            <w:tcW w:w="1343" w:type="dxa"/>
          </w:tcPr>
          <w:p>
            <w:pPr>
              <w:spacing w:after="20" w:line="240" w:lineRule="auto"/>
              <w:jc w:val="left"/>
            </w:pPr>
            <w:r>
              <w:rPr>
                <w:sz w:val="13"/>
                <w:szCs w:val="13"/>
              </w:rPr>
              <w:t xml:space="preserve">VIN-4-D2-I2</w:t>
            </w:r>
          </w:p>
        </w:tc>
        <w:tc>
          <w:tcPr>
            <w:tcW w:w="2015" w:type="dxa"/>
          </w:tcPr>
          <w:p>
            <w:pPr>
              <w:spacing w:after="20" w:line="240" w:lineRule="auto"/>
              <w:jc w:val="left"/>
            </w:pPr>
            <w:r>
              <w:rPr>
                <w:sz w:val="13"/>
                <w:szCs w:val="13"/>
              </w:rPr>
              <w:t xml:space="preserve">—</w:t>
            </w:r>
          </w:p>
        </w:tc>
        <w:tc>
          <w:tcPr>
            <w:tcW w:w="2284" w:type="dxa"/>
          </w:tcPr>
          <w:p>
            <w:pPr>
              <w:spacing w:after="20" w:line="240" w:lineRule="auto"/>
              <w:jc w:val="left"/>
            </w:pPr>
            <w:r>
              <w:rPr>
                <w:sz w:val="13"/>
                <w:szCs w:val="13"/>
              </w:rPr>
              <w:t xml:space="preserve">—</w:t>
            </w:r>
          </w:p>
        </w:tc>
        <w:tc>
          <w:tcPr>
            <w:tcW w:w="1343" w:type="dxa"/>
          </w:tcPr>
          <w:p>
            <w:pPr>
              <w:spacing w:after="20" w:line="240" w:lineRule="auto"/>
              <w:jc w:val="left"/>
            </w:pPr>
            <w:r>
              <w:rPr>
                <w:sz w:val="13"/>
                <w:szCs w:val="13"/>
              </w:rPr>
              <w:t xml:space="preserve">—</w:t>
            </w:r>
          </w:p>
        </w:tc>
        <w:tc>
          <w:tcPr>
            <w:tcW w:w="2015" w:type="dxa"/>
          </w:tcPr>
          <w:p>
            <w:pPr>
              <w:spacing w:after="20" w:line="240" w:lineRule="auto"/>
              <w:jc w:val="left"/>
            </w:pPr>
            <w:r>
              <w:rPr>
                <w:sz w:val="13"/>
                <w:szCs w:val="13"/>
              </w:rPr>
              <w:t xml:space="preserve">—</w:t>
            </w:r>
          </w:p>
        </w:tc>
        <w:tc>
          <w:tcPr>
            <w:tcW w:w="1746" w:type="dxa"/>
          </w:tcPr>
          <w:p>
            <w:pPr>
              <w:spacing w:after="20" w:line="240" w:lineRule="auto"/>
              <w:jc w:val="left"/>
            </w:pPr>
            <w:r>
              <w:rPr>
                <w:sz w:val="13"/>
                <w:szCs w:val="13"/>
              </w:rPr>
              <w:t xml:space="preserve">EXPERIMENTAL / PROPUESTO</w:t>
            </w:r>
          </w:p>
        </w:tc>
        <w:tc>
          <w:tcPr>
            <w:tcW w:w="2690" w:type="dxa"/>
          </w:tcPr>
          <w:p>
            <w:pPr>
              <w:spacing w:after="20" w:line="240" w:lineRule="auto"/>
              <w:jc w:val="left"/>
            </w:pPr>
            <w:r>
              <w:rPr>
                <w:sz w:val="13"/>
                <w:szCs w:val="13"/>
              </w:rPr>
              <w:t xml:space="preserve">docs/v1.1/ml/phase-15b-experiment-freeze.json; docs/v1.1/ml/model-card-draft.md</w:t>
            </w:r>
          </w:p>
        </w:tc>
      </w:tr>
    </w:tbl>
    <w:p>
      <w:pPr>
        <w:spacing w:after="120"/>
      </w:pPr>
    </w:p>
    <w:p>
      <w:pPr>
        <w:spacing w:after="60" w:line="252" w:lineRule="auto"/>
        <w:jc w:val="left"/>
      </w:pPr>
      <w:r>
        <w:rPr>
          <w:sz w:val="16"/>
          <w:szCs w:val="16"/>
        </w:rPr>
        <w:t xml:space="preserve">Actividad de la guía E1/L1 con IA (enunciados 1 a 4): La guía E1/L1 propone la actividad completa: 4 prompts en 4 chatbots, comparaciones y capítulos 1 y 2. Por el criterio docente informado por el equipo, el alcance efectivo de este entregable es la evidencia de ChatGPT (P-01 a P-06) y su integración con los capítulos 1 y 2. Gemini, DeepSeek, Copilot y el chat del docente quedan NO REQUERIDOS y no se presentan como ejecutados. La evidencia está en el registro de ejecuciones, y </w:t>
      </w:r>
      <w:r>
        <w:rPr>
          <w:rFonts w:ascii="Consolas" w:hAnsi="Consolas"/>
          <w:sz w:val="16"/>
          <w:szCs w:val="16"/>
        </w:rPr>
        <w:t xml:space="preserve">validate.py --cierre-f29c</w:t>
      </w:r>
      <w:r>
        <w:rPr>
          <w:sz w:val="16"/>
          <w:szCs w:val="16"/>
        </w:rPr>
        <w:t xml:space="preserve"> informa si está completa.</w:t>
      </w:r>
    </w:p>
    <w:p>
      <w:pPr>
        <w:spacing w:after="80" w:line="252" w:lineRule="auto"/>
        <w:jc w:val="left"/>
      </w:pPr>
      <w:r>
        <w:rPr>
          <w:sz w:val="16"/>
          <w:szCs w:val="16"/>
        </w:rPr>
        <w:t xml:space="preserve">Criterio docente informado por el equipo (30/09/2026): para este entregable no se exige ejecutar la comparación con Gemini, DeepSeek y Copilot. No es contenido de la guía E1/L1, que sí propone esa actividad comparativa, y el repositorio no contiene un documento del docente que lo respalde: lo registra el equipo. Requisitos, alcance y prompts: docs/academico/operacionalizacion/ACTIVIDAD_IA_COMPARACION.md; evidencia: docs/academico/operacionalizacion/evidencias-ia/REGISTRO_EJECUCIONES_IA.md.</w:t>
      </w:r>
    </w:p>
    <w:p>
      <w:pPr>
        <w:spacing w:after="160" w:line="252" w:lineRule="auto"/>
        <w:jc w:val="left"/>
      </w:pPr>
      <w:r>
        <w:rPr>
          <w:i/>
          <w:iCs/>
          <w:sz w:val="16"/>
          <w:szCs w:val="16"/>
        </w:rPr>
        <w:t xml:space="preserve">La matriz y el diagrama de la F29C los elaboró el asistente de IA del equipo (Claude, en Claude Code) a partir de la evidencia versionada del repositorio, siguiendo las reglas de la guía. No sustituyen la actividad de la guía con ChatGPT, que se registra aparte.</w:t>
      </w:r>
    </w:p>
    <w:p>
      <w:pPr>
        <w:keepNext/>
        <w:spacing w:after="80" w:line="252" w:lineRule="auto"/>
        <w:jc w:val="left"/>
      </w:pPr>
      <w:r>
        <w:rPr>
          <w:b/>
          <w:bCs/>
          <w:sz w:val="24"/>
          <w:szCs w:val="24"/>
        </w:rPr>
        <w:t xml:space="preserve">Anexo 2. Diseño conceptual de variables</w:t>
      </w:r>
    </w:p>
    <w:p>
      <w:pPr>
        <w:spacing w:after="60"/>
        <w:jc w:val="center"/>
      </w:pPr>
      <w:r>
        <w:drawing>
          <wp:inline distT="0" distB="0" distL="0" distR="0">
            <wp:extent cx="7428571" cy="4680000"/>
            <wp:docPr id="201" name="F29C_diagrama_conceptual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29C_diagrama_conceptual_variables.png"/>
                    <pic:cNvPicPr/>
                  </pic:nvPicPr>
                  <pic:blipFill>
                    <a:blip r:embed="rId201"/>
                    <a:stretch>
                      <a:fillRect/>
                    </a:stretch>
                  </pic:blipFill>
                  <pic:spPr>
                    <a:xfrm>
                      <a:off x="0" y="0"/>
                      <a:ext cx="7428571" cy="4680000"/>
                    </a:xfrm>
                    <a:prstGeom prst="rect">
                      <a:avLst/>
                    </a:prstGeom>
                  </pic:spPr>
                </pic:pic>
              </a:graphicData>
            </a:graphic>
          </wp:inline>
        </w:drawing>
      </w:r>
    </w:p>
    <w:p>
      <w:pPr>
        <w:spacing w:after="120" w:line="252" w:lineRule="auto"/>
        <w:jc w:val="center"/>
      </w:pPr>
      <w:r>
        <w:rPr>
          <w:i/>
          <w:iCs/>
          <w:sz w:val="16"/>
          <w:szCs w:val="16"/>
        </w:rPr>
        <w:t xml:space="preserve">Figura 1. Diseño conceptual de variables: VI, VD y variables intermedias. Generado con Python (f29c.py) desde m_variables.py.</w:t>
      </w:r>
    </w:p>
    <w:sectPr w:rsidR="00757272" w:rsidRPr="0085569D" w:rsidSect="00C77A65">
      <w:headerReference w:type="default" r:id="rId7"/>
      <w:pgSz w:w="16838" w:h="11906" w:orient="landscape"/>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12EEB" w14:textId="77777777" w:rsidR="005854E3" w:rsidRDefault="005854E3" w:rsidP="007A4B26">
      <w:pPr>
        <w:spacing w:after="0" w:line="240" w:lineRule="auto"/>
      </w:pPr>
      <w:r>
        <w:separator/>
      </w:r>
    </w:p>
  </w:endnote>
  <w:endnote w:type="continuationSeparator" w:id="0">
    <w:p w14:paraId="513D7163" w14:textId="77777777" w:rsidR="005854E3" w:rsidRDefault="005854E3" w:rsidP="007A4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C6060" w14:textId="77777777" w:rsidR="005854E3" w:rsidRDefault="005854E3" w:rsidP="007A4B26">
      <w:pPr>
        <w:spacing w:after="0" w:line="240" w:lineRule="auto"/>
      </w:pPr>
      <w:r>
        <w:separator/>
      </w:r>
    </w:p>
  </w:footnote>
  <w:footnote w:type="continuationSeparator" w:id="0">
    <w:p w14:paraId="76300CDD" w14:textId="77777777" w:rsidR="005854E3" w:rsidRDefault="005854E3" w:rsidP="007A4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B7E04" w14:textId="2E7C4F18" w:rsidR="007A4B26" w:rsidRDefault="007A4B26" w:rsidP="007A4B26">
    <w:pPr>
      <w:pStyle w:val="Encabezado"/>
      <w:jc w:val="right"/>
      <w:rPr>
        <w:b/>
        <w:bCs/>
      </w:rPr>
    </w:pPr>
    <w:r>
      <w:rPr>
        <w:noProof/>
      </w:rPr>
      <w:drawing>
        <wp:anchor distT="0" distB="0" distL="114300" distR="114300" simplePos="0" relativeHeight="251658240" behindDoc="0" locked="0" layoutInCell="1" allowOverlap="1" wp14:anchorId="5B7733C7" wp14:editId="28C93B72">
          <wp:simplePos x="0" y="0"/>
          <wp:positionH relativeFrom="column">
            <wp:posOffset>-3810</wp:posOffset>
          </wp:positionH>
          <wp:positionV relativeFrom="paragraph">
            <wp:posOffset>-1905</wp:posOffset>
          </wp:positionV>
          <wp:extent cx="1619250" cy="356235"/>
          <wp:effectExtent l="0" t="0" r="0" b="5715"/>
          <wp:wrapNone/>
          <wp:docPr id="1" name="Imagen 1" descr="Universidad Continental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ontinental - UniverPeru.com"/>
                  <pic:cNvPicPr>
                    <a:picLocks noChangeAspect="1" noChangeArrowheads="1"/>
                  </pic:cNvPicPr>
                </pic:nvPicPr>
                <pic:blipFill rotWithShape="1">
                  <a:blip r:embed="rId1">
                    <a:extLst>
                      <a:ext uri="{28A0092B-C50C-407E-A947-70E740481C1C}">
                        <a14:useLocalDpi xmlns:a14="http://schemas.microsoft.com/office/drawing/2010/main" val="0"/>
                      </a:ext>
                    </a:extLst>
                  </a:blip>
                  <a:srcRect t="25874" b="27972"/>
                  <a:stretch/>
                </pic:blipFill>
                <pic:spPr bwMode="auto">
                  <a:xfrm>
                    <a:off x="0" y="0"/>
                    <a:ext cx="1619250" cy="356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Asignatura:</w:t>
    </w:r>
  </w:p>
  <w:p w14:paraId="71F3076F" w14:textId="24FE654A" w:rsidR="007A4B26" w:rsidRDefault="00A04786" w:rsidP="007A4B26">
    <w:pPr>
      <w:pStyle w:val="Encabezado"/>
      <w:jc w:val="right"/>
      <w:rPr>
        <w:b/>
        <w:bCs/>
      </w:rPr>
    </w:pPr>
    <w:r>
      <w:rPr>
        <w:b/>
        <w:bCs/>
      </w:rPr>
      <w:t>Pruebas y Calidad de Software</w:t>
    </w:r>
  </w:p>
  <w:p w14:paraId="158BA228" w14:textId="28D89526" w:rsidR="007A4B26" w:rsidRDefault="007A4B26" w:rsidP="007A4B26">
    <w:pPr>
      <w:pStyle w:val="Encabezado"/>
      <w:jc w:val="right"/>
      <w:rPr>
        <w:b/>
        <w:bCs/>
      </w:rPr>
    </w:pPr>
  </w:p>
  <w:p w14:paraId="17DEAAA0" w14:textId="77777777" w:rsidR="007A4B26" w:rsidRDefault="007A4B26" w:rsidP="007A4B2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186C"/>
    <w:multiLevelType w:val="hybridMultilevel"/>
    <w:tmpl w:val="330A964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3DF34F96"/>
    <w:multiLevelType w:val="hybridMultilevel"/>
    <w:tmpl w:val="0298E1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4D34F2C"/>
    <w:multiLevelType w:val="hybridMultilevel"/>
    <w:tmpl w:val="AECE85EE"/>
    <w:lvl w:ilvl="0" w:tplc="280A0001">
      <w:start w:val="1"/>
      <w:numFmt w:val="bullet"/>
      <w:lvlText w:val=""/>
      <w:lvlJc w:val="left"/>
      <w:pPr>
        <w:ind w:left="928"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 w15:restartNumberingAfterBreak="0">
    <w:nsid w:val="6CE02C6F"/>
    <w:multiLevelType w:val="hybridMultilevel"/>
    <w:tmpl w:val="B5064A1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 w15:restartNumberingAfterBreak="0">
    <w:nsid w:val="7A6E1146"/>
    <w:multiLevelType w:val="hybridMultilevel"/>
    <w:tmpl w:val="B688F006"/>
    <w:lvl w:ilvl="0" w:tplc="74985704">
      <w:numFmt w:val="bullet"/>
      <w:lvlText w:val="-"/>
      <w:lvlJc w:val="left"/>
      <w:pPr>
        <w:ind w:left="644" w:hanging="360"/>
      </w:pPr>
      <w:rPr>
        <w:rFonts w:ascii="Century Gothic" w:eastAsiaTheme="minorHAnsi" w:hAnsi="Century Gothic" w:cstheme="minorBidi"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26"/>
    <w:rsid w:val="0001418A"/>
    <w:rsid w:val="00483D0D"/>
    <w:rsid w:val="00547B73"/>
    <w:rsid w:val="0058190E"/>
    <w:rsid w:val="005854E3"/>
    <w:rsid w:val="005D07C1"/>
    <w:rsid w:val="007438E4"/>
    <w:rsid w:val="00757272"/>
    <w:rsid w:val="007A4B26"/>
    <w:rsid w:val="0085569D"/>
    <w:rsid w:val="00875FFB"/>
    <w:rsid w:val="00880531"/>
    <w:rsid w:val="00935A68"/>
    <w:rsid w:val="009B1C80"/>
    <w:rsid w:val="00A04786"/>
    <w:rsid w:val="00A226CF"/>
    <w:rsid w:val="00B838D5"/>
    <w:rsid w:val="00C1637C"/>
    <w:rsid w:val="00C77A65"/>
    <w:rsid w:val="00C95537"/>
    <w:rsid w:val="00CC7CE9"/>
    <w:rsid w:val="00CD7768"/>
    <w:rsid w:val="00CE3ED3"/>
    <w:rsid w:val="00DB3D15"/>
    <w:rsid w:val="00DD2621"/>
    <w:rsid w:val="00DD5913"/>
    <w:rsid w:val="00DD798E"/>
    <w:rsid w:val="00E047A5"/>
    <w:rsid w:val="00E37272"/>
    <w:rsid w:val="00EE7DF9"/>
    <w:rsid w:val="00F6625E"/>
    <w:rsid w:val="00FC187E"/>
    <w:rsid w:val="00FF5C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C4118A"/>
  <w15:chartTrackingRefBased/>
  <w15:docId w15:val="{561C5762-8213-48C9-8EAB-11DCFB88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26"/>
    <w:pPr>
      <w:spacing w:line="360" w:lineRule="auto"/>
      <w:jc w:val="both"/>
    </w:pPr>
    <w:rPr>
      <w:rFonts w:ascii="Century Gothic" w:hAnsi="Century Gothic"/>
      <w:sz w:val="20"/>
    </w:rPr>
  </w:style>
  <w:style w:type="paragraph" w:styleId="Ttulo1">
    <w:name w:val="heading 1"/>
    <w:basedOn w:val="Normal"/>
    <w:next w:val="Normal"/>
    <w:link w:val="Ttulo1Car"/>
    <w:uiPriority w:val="9"/>
    <w:qFormat/>
    <w:rsid w:val="007A4B26"/>
    <w:pPr>
      <w:keepNext/>
      <w:keepLines/>
      <w:spacing w:before="240" w:after="0"/>
      <w:jc w:val="center"/>
      <w:outlineLvl w:val="0"/>
    </w:pPr>
    <w:rPr>
      <w:rFonts w:eastAsiaTheme="majorEastAsia" w:cstheme="majorBidi"/>
      <w:b/>
      <w:color w:val="2F5496" w:themeColor="accent1" w:themeShade="BF"/>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B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B26"/>
    <w:rPr>
      <w:rFonts w:ascii="Century Gothic" w:hAnsi="Century Gothic"/>
      <w:sz w:val="20"/>
    </w:rPr>
  </w:style>
  <w:style w:type="paragraph" w:styleId="Piedepgina">
    <w:name w:val="footer"/>
    <w:basedOn w:val="Normal"/>
    <w:link w:val="PiedepginaCar"/>
    <w:uiPriority w:val="99"/>
    <w:unhideWhenUsed/>
    <w:rsid w:val="007A4B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B26"/>
    <w:rPr>
      <w:rFonts w:ascii="Century Gothic" w:hAnsi="Century Gothic"/>
      <w:sz w:val="20"/>
    </w:rPr>
  </w:style>
  <w:style w:type="character" w:customStyle="1" w:styleId="Ttulo1Car">
    <w:name w:val="Título 1 Car"/>
    <w:basedOn w:val="Fuentedeprrafopredeter"/>
    <w:link w:val="Ttulo1"/>
    <w:uiPriority w:val="9"/>
    <w:rsid w:val="007A4B26"/>
    <w:rPr>
      <w:rFonts w:ascii="Century Gothic" w:eastAsiaTheme="majorEastAsia" w:hAnsi="Century Gothic" w:cstheme="majorBidi"/>
      <w:b/>
      <w:color w:val="2F5496" w:themeColor="accent1" w:themeShade="BF"/>
      <w:sz w:val="24"/>
      <w:szCs w:val="32"/>
    </w:rPr>
  </w:style>
  <w:style w:type="paragraph" w:styleId="Prrafodelista">
    <w:name w:val="List Paragraph"/>
    <w:basedOn w:val="Normal"/>
    <w:uiPriority w:val="34"/>
    <w:qFormat/>
    <w:rsid w:val="007A4B26"/>
    <w:pPr>
      <w:ind w:left="720"/>
      <w:contextualSpacing/>
    </w:pPr>
  </w:style>
  <w:style w:type="table" w:styleId="Tablaconcuadrcula">
    <w:name w:val="Table Grid"/>
    <w:basedOn w:val="Tablanormal"/>
    <w:uiPriority w:val="39"/>
    <w:rsid w:val="007A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201" Type="http://schemas.openxmlformats.org/officeDocument/2006/relationships/image" Target="media/f29c_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265</Words>
  <Characters>1459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Variables y matriz de operacionalización del proyecto (F29C)</dc:title>
  <dc:subject/>
  <dc:creator>Coronacion Meza Fredy; Peña Arroyo Anthony; Vila Meza Luis Antonio</dc:creator>
  <cp:keywords/>
  <dc:description/>
  <cp:lastModifiedBy>Equipo del proyecto</cp:lastModifiedBy>
  <cp:revision>11</cp:revision>
  <dcterms:created xsi:type="dcterms:W3CDTF">2026-03-16T06:30:00Z</dcterms:created>
  <dcterms:modified xsi:type="dcterms:W3CDTF">2026-04-20T22:33:00Z</dcterms:modified>
</cp:coreProperties>
</file>