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Ficha técnica del software</w:t>
      </w:r>
    </w:p>
    <w:p>
      <w:pPr>
        <w:pStyle w:val="Pending"/>
      </w:pPr>
      <w:r>
        <w:t xml:space="preserve">BORRADOR TÉCNICO — LISTO PARA REVISIÓN</w:t>
      </w:r>
    </w:p>
    <w:p>
      <w:pPr>
        <w:pStyle w:val="Meta"/>
      </w:pPr>
      <w:r>
        <w:t xml:space="preserve">Título provisional — pendiente de confirmación humana</w:t>
      </w:r>
    </w:p>
    <w:p>
      <w:pPr>
        <w:pStyle w:val="Subtitle"/>
      </w:pPr>
      <w:r>
        <w:t xml:space="preserve">Plataforma SaaS Multiempresa para la Gestión del Reclutamiento, Evaluación y Selección de Personal</w:t>
      </w:r>
    </w:p>
    <w:p>
      <w:pPr>
        <w:pStyle w:val="Meta"/>
      </w:pPr>
      <w:r>
        <w:t xml:space="preserve">Título jurídico definitivo: [PENDIENTE DE CONFIRMACIÓN HUMANA]</w:t>
      </w:r>
    </w:p>
    <w:p>
      <w:pPr>
        <w:pStyle w:val="Meta"/>
      </w:pPr>
      <w:r>
        <w:t xml:space="preserve">Versión del registro: [PENDIENTE DE CONFIRMACIÓN HUMANA]</w:t>
      </w:r>
    </w:p>
    <w:p>
      <w:pPr>
        <w:pStyle w:val="Meta"/>
      </w:pPr>
      <w:r>
        <w:t xml:space="preserve">Snapshot técnico auditado: b8892af39a6492d8dd44a36290604efc602380cd</w:t>
      </w:r>
    </w:p>
    <w:p>
      <w:pPr>
        <w:pStyle w:val="Heading1"/>
      </w:pPr>
      <w:r>
        <w:t xml:space="preserve">1 Identificación de la obra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6800"/>
      </w:tblGrid>
      <w:tr>
        <w:trPr>
          <w:cantSplit/>
          <w:tblHeader/>
        </w:trPr>
        <w:tc>
          <w:tcPr>
            <w:tcW w:w="2800" w:type="dxa"/>
            <w:vAlign w:val="center"/>
            <w:shd w:fill="E7EDF3"/>
          </w:tcPr>
          <w:p>
            <w:pPr>
              <w:pStyle w:val="CellHead"/>
            </w:pPr>
            <w:r>
              <w:t xml:space="preserve">Campo</w:t>
            </w:r>
          </w:p>
        </w:tc>
        <w:tc>
          <w:tcPr>
            <w:tcW w:w="6800" w:type="dxa"/>
            <w:vAlign w:val="center"/>
            <w:shd w:fill="E7EDF3"/>
          </w:tcPr>
          <w:p>
            <w:pPr>
              <w:pStyle w:val="CellHead"/>
            </w:pPr>
            <w:r>
              <w:t xml:space="preserve">Información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Tipo técnico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Aplicación web de gestión del reclutamiento con separación lógica entre organizaciones.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Título definitivo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Versión del registro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Fecha oficial de creación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Fecha de primera versión funcional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Titular patrimonial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Normal"/>
      </w:pPr>
      <w:r>
        <w:t xml:space="preserve">La denominación provisional describe el objeto técnico del sistema. Su uso en este paquete no constituye aprobación del título jurídico ni elección de la versión que será registrada.</w:t>
      </w:r>
    </w:p>
    <w:p>
      <w:pPr>
        <w:pStyle w:val="Heading1"/>
      </w:pPr>
      <w:r>
        <w:t xml:space="preserve">2 Lenguajes y tecnologías</w:t>
      </w:r>
    </w:p>
    <w:p>
      <w:pPr>
        <w:pStyle w:val="Normal"/>
      </w:pPr>
      <w:r>
        <w:t xml:space="preserve">El núcleo utiliza PHP con Laravel, TypeScript y JavaScript con React e Inertia, y SQL para PostgreSQL. Redis participa en sesiones, caché y colas según la receta del entorno. Docker Compose organiza la ejecución local. Eloquent implementa relaciones y persistencia; Fortify proporciona autenticación y las Policies controlan acceso por rol y organización.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6800"/>
      </w:tblGrid>
      <w:tr>
        <w:trPr>
          <w:cantSplit/>
          <w:tblHeader/>
        </w:trPr>
        <w:tc>
          <w:tcPr>
            <w:tcW w:w="2800" w:type="dxa"/>
            <w:vAlign w:val="center"/>
            <w:shd w:fill="E7EDF3"/>
          </w:tcPr>
          <w:p>
            <w:pPr>
              <w:pStyle w:val="CellHead"/>
            </w:pPr>
            <w:r>
              <w:t xml:space="preserve">Capa</w:t>
            </w:r>
          </w:p>
        </w:tc>
        <w:tc>
          <w:tcPr>
            <w:tcW w:w="6800" w:type="dxa"/>
            <w:vAlign w:val="center"/>
            <w:shd w:fill="E7EDF3"/>
          </w:tcPr>
          <w:p>
            <w:pPr>
              <w:pStyle w:val="CellHead"/>
            </w:pPr>
            <w:r>
              <w:t xml:space="preserve">Versión verificada en las fuentes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Backend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Laravel 13.31.0 en composer.lock; PHP 8.4.25 configurado en Docker.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Frontend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React 19.3.0; TypeScript 5.9.3; Inertia React 3.7.1; Tailwind CSS 4.3.3 en package-lock.json.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Integración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Inertia Laravel 3.3.4; Fortify 1.39.0; Vite 8.3.0 y Vite Plus 0.3.0.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Datos y entorno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PostgreSQL 17.11 y Redis 7.4.11 en Compose; Node.js 22.23.2 en Docker.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ML opcional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Python ≥3.12, FastAPI y scikit-learn declarados en ml-service/pyproject.toml. Componente experimental de riesgo del proceso.</w:t>
            </w:r>
          </w:p>
        </w:tc>
      </w:tr>
    </w:tbl>
    <w:p>
      <w:pPr>
        <w:pStyle w:val="Meta"/>
      </w:pPr>
      <w:r>
        <w:t xml:space="preserve"/>
      </w:r>
    </w:p>
    <w:p>
      <w:pPr>
        <w:pStyle w:val="Normal"/>
      </w:pPr>
      <w:r>
        <w:t xml:space="preserve">Las versiones anteriores identifican locks o configuración del snapshot, no una instalación ejecutada durante esta generación ni la versión oficial del registro.</w:t>
      </w:r>
    </w:p>
    <w:p>
      <w:pPr>
        <w:pStyle w:val="Heading1"/>
      </w:pPr>
      <w:r>
        <w:t xml:space="preserve">3 Funcionalidad principal</w:t>
      </w:r>
    </w:p>
    <w:p>
      <w:pPr>
        <w:pStyle w:val="Normal"/>
      </w:pPr>
      <w:r>
        <w:t xml:space="preserve">El sistema gestiona necesidades de personal desde su requerimiento hasta la selección y el cierre de la convocatoria. El Solicitante registra el requerimiento; RR. HH. lo revisa y configura la vacante; el Aprobador/Dirección aprueba o rechaza y registra la decisión final. El Postulante consulta empleos, completa su perfil, carga un CV ficticio en PDF y presenta su postulación. El Evaluador asignado registra resultados humanos de evaluaciones y entrevistas.</w:t>
      </w:r>
    </w:p>
    <w:p>
      <w:pPr>
        <w:pStyle w:val="Normal"/>
      </w:pPr>
      <w:r>
        <w:t xml:space="preserve">El ranking determinista pondera y normaliza resultados, muestra contribuciones y empates y señala resultados incompletos. No selecciona. El Aprobador/Dirección confirma y justifica la decisión final humana. RR. HH. registra la selección conforme a esa decisión y cierra; cada destinatario recibe su propio resultado.</w:t>
      </w:r>
    </w:p>
    <w:p>
      <w:pPr>
        <w:pStyle w:val="Normal"/>
      </w:pPr>
      <w:r>
        <w:t xml:space="preserve">Se incluyen historial de etapas, control de roles, consulta de auditoría de la organización y notificaciones. El panel inicial muestra accesos por rol, no un módulo de indicadores analíticos. El alcance observado termina en selección/cierre: no se acredita contratación, nómina o firma de contratos.</w:t>
      </w:r>
    </w:p>
    <w:p>
      <w:pPr>
        <w:pStyle w:val="Heading1"/>
      </w:pPr>
      <w:r>
        <w:t xml:space="preserve">4 Fechas y periodo observable</w:t>
      </w:r>
    </w:p>
    <w:tbl>
      <w:tblPr>
        <w:tblW w:w="96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800"/>
        <w:gridCol w:w="6800"/>
      </w:tblGrid>
      <w:tr>
        <w:trPr>
          <w:cantSplit/>
          <w:tblHeader/>
        </w:trPr>
        <w:tc>
          <w:tcPr>
            <w:tcW w:w="2800" w:type="dxa"/>
            <w:vAlign w:val="center"/>
            <w:shd w:fill="E7EDF3"/>
          </w:tcPr>
          <w:p>
            <w:pPr>
              <w:pStyle w:val="CellHead"/>
            </w:pPr>
            <w:r>
              <w:t xml:space="preserve">Dato</w:t>
            </w:r>
          </w:p>
        </w:tc>
        <w:tc>
          <w:tcPr>
            <w:tcW w:w="6800" w:type="dxa"/>
            <w:vAlign w:val="center"/>
            <w:shd w:fill="E7EDF3"/>
          </w:tcPr>
          <w:p>
            <w:pPr>
              <w:pStyle w:val="CellHead"/>
            </w:pPr>
            <w:r>
              <w:t xml:space="preserve">Alcance de la evidencia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Periodo Git observable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13/09/2026–25/10/2026, según commits alcanzables desde el snapshot auditado.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Versión académica encontrada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Tag v1.1.0-academic sobre 634f354; no se adopta automáticamente como versión del registro.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FFFFF"/>
          </w:tcPr>
          <w:p>
            <w:pPr>
              <w:pStyle w:val="Cell"/>
            </w:pPr>
            <w:r>
              <w:t xml:space="preserve">Creación y conclusión oficiales</w:t>
            </w:r>
          </w:p>
        </w:tc>
        <w:tc>
          <w:tcPr>
            <w:tcW w:w="68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6F8FA"/>
          </w:tcPr>
          <w:p>
            <w:pPr>
              <w:pStyle w:val="Cell"/>
            </w:pPr>
            <w:r>
              <w:t xml:space="preserve">Año a declarar</w:t>
            </w:r>
          </w:p>
        </w:tc>
        <w:tc>
          <w:tcPr>
            <w:tcW w:w="68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Normal"/>
      </w:pPr>
      <w:r>
        <w:t xml:space="preserve">Los metadatos Git y las etiquetas académicas permiten reconstruir hitos técnicos. No certifican por sí solos la fecha jurídica de creación ni el periodo oficial de participación de cada autor.</w:t>
      </w:r>
    </w:p>
    <w:p>
      <w:pPr>
        <w:pStyle w:val="Heading1"/>
      </w:pPr>
      <w:r>
        <w:t xml:space="preserve">5 Arquitectura del sistema</w:t>
      </w:r>
    </w:p>
    <w:p>
      <w:pPr>
        <w:pStyle w:val="Normal"/>
      </w:pPr>
      <w:r>
        <w:t xml:space="preserve">El monolito Laravel integra React/Inertia, middleware, Form Requests, Policies y servicios de dominio. PostgreSQL conserva estados y decisiones. El CV reside en disco privado y requiere autorización. Redis y un worker atienden notificaciones después de confirmar transacciones.</w:t>
      </w:r>
    </w:p>
    <w:p>
      <w:pPr>
        <w:pStyle w:val="Normal"/>
      </w:pPr>
      <w:r>
        <w:t xml:space="preserve">La multiempresa utiliza organization_id, OrganizationScope, BelongsToOrganization, Policies y consultas explícitas. Los postulantes son globales y se restringen por propiedad de sus recursos. No se acredita RLS ni una base independiente por organización.</w:t>
      </w:r>
    </w:p>
    <w:p>
      <w:pPr>
        <w:pStyle w:val="Normal"/>
      </w:pPr>
      <w:r>
        <w:t xml:space="preserve">Python/ML es opcional y experimental: estima demora del proceso mediante quince características operacionales. No evalúa, clasifica ni selecciona personas. Laravel valida su respuesta y tolera su indisponibilidad; el núcleo no depende de ML.</w:t>
      </w:r>
    </w:p>
    <w:p>
      <w:pPr>
        <w:pStyle w:val="Heading1"/>
      </w:pPr>
      <w:r>
        <w:t xml:space="preserve">6 Observaciones y fuentes</w:t>
      </w:r>
    </w:p>
    <w:p>
      <w:pPr>
        <w:pStyle w:val="Normal"/>
      </w:pPr>
      <w:r>
        <w:t xml:space="preserve">El entorno es de desarrollo/demostración; no acredita producción, certificación o autorización para datos reales. F35-SBX permanece CERRADA / CONGELADA / INTEGRADA y separada del runtime; G0 real NO APROBADA; F36–F40 BLOQUEADAS.</w:t>
      </w:r>
    </w:p>
    <w:p>
      <w:pPr>
        <w:pStyle w:val="Normal"/>
      </w:pPr>
      <w:r>
        <w:t xml:space="preserve">Fuentes: reporte maestro §§2–8; locks; Dockerfile y Compose. Detalle: documento 06. Datos humanos: checklist del paquete.</w:t>
      </w:r>
    </w:p>
    <w:sectPr>
      <w:footerReference w:type="default" r:id="rIdFooter"/>
      <w:pgSz w:w="11906" w:h="16838"/>
      <w:pgMar w:top="1134" w:right="1134" w:bottom="1134" w:left="1134" w:header="500" w:footer="50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Meta"/>
      <w:jc w:val="center"/>
    </w:pPr>
    <w:r>
      <w:t xml:space="preserve">Documento para revisión humana</w:t>
    </w:r>
  </w:p>
  <w:p>
    <w:pPr>
      <w:jc w:val="center"/>
    </w:pPr>
    <w:r>
      <w:t xml:space="preserve">Página </w:t>
    </w:r>
    <w:fldSimple w:instr="PAGE">
      <w:r>
        <w:t xml:space="preserve"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E48FE"/>
    <w:multiLevelType w:val="multilevel"/>
    <w:tmpl w:val="FE2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1389"/>
    <w:multiLevelType w:val="hybridMultilevel"/>
    <w:tmpl w:val="21F2C83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6893D80"/>
    <w:multiLevelType w:val="multilevel"/>
    <w:tmpl w:val="48EA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14B1C"/>
    <w:multiLevelType w:val="hybridMultilevel"/>
    <w:tmpl w:val="536609A6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3963A87"/>
    <w:multiLevelType w:val="hybridMultilevel"/>
    <w:tmpl w:val="1A6AA3C4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C9D1EF7"/>
    <w:multiLevelType w:val="hybridMultilevel"/>
    <w:tmpl w:val="1F8236AA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861053C"/>
    <w:multiLevelType w:val="multilevel"/>
    <w:tmpl w:val="1828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95ABD"/>
    <w:multiLevelType w:val="hybridMultilevel"/>
    <w:tmpl w:val="B428DF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571477"/>
    <w:multiLevelType w:val="multilevel"/>
    <w:tmpl w:val="A628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651D2"/>
    <w:multiLevelType w:val="multilevel"/>
    <w:tmpl w:val="6198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8"/>
  </w:num>
  <w:num w:numId="5">
    <w:abstractNumId w:val="9"/>
  </w:num>
  <w:num w:numId="6">
    <w:abstractNumId w:val="7"/>
  </w:num>
  <w:num w:numId="7">
    <w:abstractNumId w:val="4"/>
  </w:num>
  <w:num w:numId="8">
    <w:abstractNumId w:val="1"/>
  </w:num>
  <w:num w:numId="9">
    <w:abstractNumId w:val="3"/>
  </w:num>
  <w:num w:numId="10">
    <w:abstractNumId w:val="5"/>
  </w:num>
</w:numbering>
</file>

<file path=word/settings.xml><?xml version="1.0" encoding="utf-8"?>
<w:settings xmlns:w="http://schemas.openxmlformats.org/wordprocessingml/2006/main">
  <w:zoom w:percent="100"/>
  <w:defaultTabStop w:val="3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b w:val="0"/>
        <w:lang w:val="es-PE"/>
      </w:rPr>
    </w:rPrDefault>
    <w:pPrDefault>
      <w:pPr>
        <w:spacing w:after="100" w:line="264" w:lineRule="auto"/>
        <w:widowControl/>
      </w:pPr>
    </w:pPrDefault>
  </w:docDefaults>
  <w:style w:type="paragraph" w:default="1" w:styleId="Normal">
    <w:name w:val="Normal"/>
    <w:rPr>
      <w:rFonts w:ascii="Arial" w:hAnsi="Arial"/>
      <w:sz w:val="22"/>
      <w:b w:val="0"/>
    </w:rPr>
  </w:style>
  <w:style w:type="paragraph" w:styleId="Title">
    <w:name w:val="Title"/>
    <w:basedOn w:val="Normal"/>
    <w:pPr>
      <w:spacing w:before="0" w:after="160"/>
      <w:keepNext/>
    </w:pPr>
    <w:rPr>
      <w:rFonts w:ascii="Arial" w:hAnsi="Arial" w:eastAsia="Arial"/>
      <w:color w:val="000000"/>
      <w:sz w:val="38"/>
      <w:b w:val="1"/>
    </w:rPr>
  </w:style>
  <w:style w:type="paragraph" w:styleId="Subtitle">
    <w:name w:val="Subtitle"/>
    <w:basedOn w:val="Normal"/>
    <w:pPr>
      <w:spacing w:after="130"/>
      <w:keepNext/>
    </w:pPr>
    <w:rPr>
      <w:rFonts w:ascii="Arial" w:hAnsi="Arial" w:eastAsia="Arial"/>
      <w:color w:val="000000"/>
      <w:sz w:val="25"/>
      <w:b w:val="1"/>
    </w:rPr>
  </w:style>
  <w:style w:type="paragraph" w:styleId="Heading1">
    <w:name w:val="heading 1"/>
    <w:basedOn w:val="Normal"/>
    <w:pPr>
      <w:spacing w:before="200" w:after="100"/>
      <w:keepNext/>
      <w:keepLines/>
      <w:outlineLvl w:val="0"/>
    </w:pPr>
    <w:rPr>
      <w:rFonts w:ascii="Arial" w:hAnsi="Arial" w:eastAsia="Arial"/>
      <w:color w:val="000000"/>
      <w:sz w:val="28"/>
      <w:b w:val="1"/>
    </w:rPr>
  </w:style>
  <w:style w:type="paragraph" w:styleId="Heading2">
    <w:name w:val="heading 2"/>
    <w:basedOn w:val="Normal"/>
    <w:pPr>
      <w:spacing w:before="140" w:after="80"/>
      <w:keepNext/>
      <w:keepLines/>
      <w:outlineLvl w:val="1"/>
    </w:pPr>
    <w:rPr>
      <w:rFonts w:ascii="Arial" w:hAnsi="Arial" w:eastAsia="Arial"/>
      <w:color w:val="000000"/>
      <w:sz w:val="24"/>
      <w:b w:val="1"/>
    </w:rPr>
  </w:style>
  <w:style w:type="paragraph" w:styleId="Meta">
    <w:name w:val="Metadata"/>
    <w:basedOn w:val="Normal"/>
    <w:pPr>
      <w:spacing w:after="60" w:line="228"/>
      <w:keepLines/>
    </w:pPr>
    <w:rPr>
      <w:rFonts w:ascii="Arial" w:hAnsi="Arial" w:eastAsia="Arial"/>
      <w:color w:val="000000"/>
      <w:sz w:val="19"/>
      <w:b w:val="0"/>
    </w:rPr>
  </w:style>
  <w:style w:type="paragraph" w:styleId="Cell">
    <w:name w:val="Table text"/>
    <w:basedOn w:val="Normal"/>
    <w:pPr>
      <w:spacing w:after="50" w:line="240"/>
      <w:widowControl/>
    </w:pPr>
    <w:rPr>
      <w:rFonts w:ascii="Arial" w:hAnsi="Arial" w:eastAsia="Arial"/>
      <w:color w:val="000000"/>
      <w:sz w:val="20"/>
      <w:b w:val="0"/>
    </w:rPr>
  </w:style>
  <w:style w:type="paragraph" w:styleId="CellHead">
    <w:name w:val="Table header"/>
    <w:basedOn w:val="Normal"/>
    <w:pPr>
      <w:spacing w:after="40"/>
      <w:keepNext/>
    </w:pPr>
    <w:rPr>
      <w:rFonts w:ascii="Arial" w:hAnsi="Arial" w:eastAsia="Arial"/>
      <w:color w:val="000000"/>
      <w:sz w:val="20"/>
      <w:b w:val="1"/>
    </w:rPr>
  </w:style>
  <w:style w:type="paragraph" w:styleId="Caption">
    <w:name w:val="Caption"/>
    <w:basedOn w:val="Normal"/>
    <w:pPr>
      <w:spacing w:before="60" w:after="120"/>
      <w:keepLines/>
    </w:pPr>
    <w:rPr>
      <w:rFonts w:ascii="Arial" w:hAnsi="Arial" w:eastAsia="Arial"/>
      <w:color w:val="000000"/>
      <w:sz w:val="19"/>
      <w:b w:val="0"/>
    </w:rPr>
  </w:style>
  <w:style w:type="paragraph" w:styleId="Code">
    <w:name w:val="Code"/>
    <w:basedOn w:val="Normal"/>
    <w:pPr>
      <w:spacing w:before="0" w:after="0" w:line="208" w:lineRule="exact"/>
      <w:widowControl w:val="0"/>
      <w:tabs>
        <w:tab w:val="left" w:pos="320"/>
      </w:tabs>
    </w:pPr>
    <w:rPr>
      <w:rFonts w:ascii="Consolas" w:hAnsi="Consolas" w:eastAsia="Consolas"/>
      <w:color w:val="000000"/>
      <w:sz w:val="18"/>
      <w:b w:val="0"/>
    </w:rPr>
  </w:style>
  <w:style w:type="paragraph" w:styleId="Pending">
    <w:name w:val="Pending"/>
    <w:basedOn w:val="Normal"/>
    <w:pPr>
      <w:spacing w:after="110"/>
      <w:keepLines/>
    </w:pPr>
    <w:rPr>
      <w:rFonts w:ascii="Arial" w:hAnsi="Arial" w:eastAsia="Arial"/>
      <w:color w:val="000000"/>
      <w:sz w:val="21"/>
      <w:b w:val="1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Relationship Id="rIdthemetheme1xml" Type="http://schemas.openxmlformats.org/officeDocument/2006/relationships/theme" Target="theme/theme1.xml"/><Relationship Id="rIdfontTablexml" Type="http://schemas.openxmlformats.org/officeDocument/2006/relationships/fontTable" Target="fontTable.xml"/><Relationship Id="rIdnumberingxml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OOXML</Application>
</Properties>
</file>

<file path=docProps/core.xml><?xml version="1.0" encoding="utf-8"?>
<cp:coreProperties xmlns:cp="http://schemas.openxmlformats.org/package/2006/metadata/core-properties" xmlns:dc="http://purl.org/dc/elements/1.1/">
  <dc:title>Ficha técnica del software</dc:title>
  <dc:creator/>
  <dc:subject>Paquete técnico para revisión humana</dc:subject>
  <dc:description>Snapshot técnico b8892af39a6492d8dd44a36290604efc602380cd. Versión del registro pendiente.</dc:description>
</cp:coreProperties>
</file>