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Ejemplar del software y manual técnico resumido</w:t>
      </w:r>
    </w:p>
    <w:p>
      <w:pPr>
        <w:pStyle w:val="Pending"/>
      </w:pPr>
      <w:r>
        <w:t xml:space="preserve">BORRADOR TÉCNICO — LISTO PARA REVISIÓN</w:t>
      </w:r>
    </w:p>
    <w:p>
      <w:pPr>
        <w:pStyle w:val="Meta"/>
      </w:pPr>
      <w:r>
        <w:t xml:space="preserve">Título provisional — pendiente de confirmación humana</w:t>
      </w:r>
    </w:p>
    <w:p>
      <w:pPr>
        <w:pStyle w:val="Subtitle"/>
      </w:pPr>
      <w:r>
        <w:t xml:space="preserve">Plataforma SaaS Multiempresa para la Gestión del Reclutamiento, Evaluación y Selección de Personal</w:t>
      </w:r>
    </w:p>
    <w:p>
      <w:pPr>
        <w:pStyle w:val="Meta"/>
      </w:pPr>
      <w:r>
        <w:t xml:space="preserve">Título jurídico definitivo: [PENDIENTE DE CONFIRMACIÓN HUMANA]</w:t>
      </w:r>
    </w:p>
    <w:p>
      <w:pPr>
        <w:pStyle w:val="Meta"/>
      </w:pPr>
      <w:r>
        <w:t xml:space="preserve">Versión del registro: [PENDIENTE DE CONFIRMACIÓN HUMANA]</w:t>
      </w:r>
    </w:p>
    <w:p>
      <w:pPr>
        <w:pStyle w:val="Meta"/>
      </w:pPr>
      <w:r>
        <w:t xml:space="preserve">Snapshot técnico auditado: b8892af39a6492d8dd44a36290604efc602380cd</w:t>
      </w:r>
    </w:p>
    <w:p>
      <w:pPr>
        <w:pStyle w:val="Heading1"/>
      </w:pPr>
      <w:r>
        <w:t xml:space="preserve">1 Propósito y alcance del ejemplar</w:t>
      </w:r>
    </w:p>
    <w:p>
      <w:pPr>
        <w:pStyle w:val="Normal"/>
      </w:pPr>
      <w:r>
        <w:t xml:space="preserve">Este documento identifica la evidencia técnica representativa del software y describe cómo se organiza, instala y utiliza su núcleo. El ejemplar se compone de este manual resumido, el anexo de código fuente y los anexos técnicos. Su preparación no acredita autoría legal, titularidad o aprobación de un registro.</w:t>
      </w:r>
    </w:p>
    <w:p>
      <w:pPr>
        <w:pStyle w:val="Heading2"/>
      </w:pPr>
      <w:r>
        <w:t xml:space="preserve">1.1 Código fuente representativo</w:t>
      </w:r>
    </w:p>
    <w:p>
      <w:pPr>
        <w:pStyle w:val="Normal"/>
      </w:pPr>
      <w:r>
        <w:t xml:space="preserve">El archivo 02A_Codigo_Fuente_Representativo.docx contiene fragmentos propios seleccionados de los servicios de reclutamiento, aislamiento multiempresa, ranking, decisión humana, auditoría, frontend y pruebas. Cada fragmento identifica ruta, propósito, lenguaje y rango. No incluye dependencias, código generado, entornos privados, dumps ni datos de postulantes.</w:t>
      </w:r>
    </w:p>
    <w:p>
      <w:pPr>
        <w:pStyle w:val="Normal"/>
      </w:pPr>
      <w:r>
        <w:t xml:space="preserve">Forma final de entrega del ejemplar: [PENDIENTE DE CONFIRMACIÓN HUMANA]. La existencia de un extracto DOCX no implica que un ZIP, ejecutable u otro soporte ya haya sido preparado o validado administrativamente.</w:t>
      </w:r>
    </w:p>
    <w:p>
      <w:pPr>
        <w:pStyle w:val="Heading2"/>
      </w:pPr>
      <w:r>
        <w:t xml:space="preserve">1.2 Estructura real del proyecto</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Ruta</w:t>
            </w:r>
          </w:p>
        </w:tc>
        <w:tc>
          <w:tcPr>
            <w:tcW w:w="6800" w:type="dxa"/>
            <w:vAlign w:val="center"/>
            <w:shd w:fill="E7EDF3"/>
          </w:tcPr>
          <w:p>
            <w:pPr>
              <w:pStyle w:val="CellHead"/>
            </w:pPr>
            <w:r>
              <w:t xml:space="preserve">Contenido y función</w:t>
            </w:r>
          </w:p>
        </w:tc>
      </w:tr>
      <w:tr>
        <w:trPr>
          <w:cantSplit/>
        </w:trPr>
        <w:tc>
          <w:tcPr>
            <w:tcW w:w="2800" w:type="dxa"/>
            <w:vAlign w:val="center"/>
            <w:shd w:fill="FFFFFF"/>
          </w:tcPr>
          <w:p>
            <w:pPr>
              <w:pStyle w:val="Cell"/>
            </w:pPr>
            <w:r>
              <w:t xml:space="preserve">app/</w:t>
            </w:r>
          </w:p>
        </w:tc>
        <w:tc>
          <w:tcPr>
            <w:tcW w:w="6800" w:type="dxa"/>
            <w:vAlign w:val="center"/>
            <w:shd w:fill="FFFFFF"/>
          </w:tcPr>
          <w:p>
            <w:pPr>
              <w:pStyle w:val="Cell"/>
            </w:pPr>
            <w:r>
              <w:t xml:space="preserve">Modelos Eloquent, Policies, Form Requests, controladores, servicios y notificaciones.</w:t>
            </w:r>
          </w:p>
        </w:tc>
      </w:tr>
      <w:tr>
        <w:trPr>
          <w:cantSplit/>
        </w:trPr>
        <w:tc>
          <w:tcPr>
            <w:tcW w:w="2800" w:type="dxa"/>
            <w:vAlign w:val="center"/>
            <w:shd w:fill="F6F8FA"/>
          </w:tcPr>
          <w:p>
            <w:pPr>
              <w:pStyle w:val="Cell"/>
            </w:pPr>
            <w:r>
              <w:t xml:space="preserve">resources/js/</w:t>
            </w:r>
          </w:p>
        </w:tc>
        <w:tc>
          <w:tcPr>
            <w:tcW w:w="6800" w:type="dxa"/>
            <w:vAlign w:val="center"/>
            <w:shd w:fill="F6F8FA"/>
          </w:tcPr>
          <w:p>
            <w:pPr>
              <w:pStyle w:val="Cell"/>
            </w:pPr>
            <w:r>
              <w:t xml:space="preserve">Páginas y componentes React/TypeScript, layouts, navegación y utilidades.</w:t>
            </w:r>
          </w:p>
        </w:tc>
      </w:tr>
      <w:tr>
        <w:trPr>
          <w:cantSplit/>
        </w:trPr>
        <w:tc>
          <w:tcPr>
            <w:tcW w:w="2800" w:type="dxa"/>
            <w:vAlign w:val="center"/>
            <w:shd w:fill="FFFFFF"/>
          </w:tcPr>
          <w:p>
            <w:pPr>
              <w:pStyle w:val="Cell"/>
            </w:pPr>
            <w:r>
              <w:t xml:space="preserve">database/migrations/</w:t>
            </w:r>
          </w:p>
        </w:tc>
        <w:tc>
          <w:tcPr>
            <w:tcW w:w="6800" w:type="dxa"/>
            <w:vAlign w:val="center"/>
            <w:shd w:fill="FFFFFF"/>
          </w:tcPr>
          <w:p>
            <w:pPr>
              <w:pStyle w:val="Cell"/>
            </w:pPr>
            <w:r>
              <w:t xml:space="preserve">Estructura relacional, restricciones y trigger de auditoría.</w:t>
            </w:r>
          </w:p>
        </w:tc>
      </w:tr>
      <w:tr>
        <w:trPr>
          <w:cantSplit/>
        </w:trPr>
        <w:tc>
          <w:tcPr>
            <w:tcW w:w="2800" w:type="dxa"/>
            <w:vAlign w:val="center"/>
            <w:shd w:fill="F6F8FA"/>
          </w:tcPr>
          <w:p>
            <w:pPr>
              <w:pStyle w:val="Cell"/>
            </w:pPr>
            <w:r>
              <w:t xml:space="preserve">tests/</w:t>
            </w:r>
          </w:p>
        </w:tc>
        <w:tc>
          <w:tcPr>
            <w:tcW w:w="6800" w:type="dxa"/>
            <w:vAlign w:val="center"/>
            <w:shd w:fill="F6F8FA"/>
          </w:tcPr>
          <w:p>
            <w:pPr>
              <w:pStyle w:val="Cell"/>
            </w:pPr>
            <w:r>
              <w:t xml:space="preserve">Pruebas PHPUnit unitarias y funcionales.</w:t>
            </w:r>
          </w:p>
        </w:tc>
      </w:tr>
      <w:tr>
        <w:trPr>
          <w:cantSplit/>
        </w:trPr>
        <w:tc>
          <w:tcPr>
            <w:tcW w:w="2800" w:type="dxa"/>
            <w:vAlign w:val="center"/>
            <w:shd w:fill="FFFFFF"/>
          </w:tcPr>
          <w:p>
            <w:pPr>
              <w:pStyle w:val="Cell"/>
            </w:pPr>
            <w:r>
              <w:t xml:space="preserve">cypress/</w:t>
            </w:r>
          </w:p>
        </w:tc>
        <w:tc>
          <w:tcPr>
            <w:tcW w:w="6800" w:type="dxa"/>
            <w:vAlign w:val="center"/>
            <w:shd w:fill="FFFFFF"/>
          </w:tcPr>
          <w:p>
            <w:pPr>
              <w:pStyle w:val="Cell"/>
            </w:pPr>
            <w:r>
              <w:t xml:space="preserve">Specs E2E y exploración visual del entorno aislado.</w:t>
            </w:r>
          </w:p>
        </w:tc>
      </w:tr>
      <w:tr>
        <w:trPr>
          <w:cantSplit/>
        </w:trPr>
        <w:tc>
          <w:tcPr>
            <w:tcW w:w="2800" w:type="dxa"/>
            <w:vAlign w:val="center"/>
            <w:shd w:fill="F6F8FA"/>
          </w:tcPr>
          <w:p>
            <w:pPr>
              <w:pStyle w:val="Cell"/>
            </w:pPr>
            <w:r>
              <w:t xml:space="preserve">docker/ y docker-compose.yml</w:t>
            </w:r>
          </w:p>
        </w:tc>
        <w:tc>
          <w:tcPr>
            <w:tcW w:w="6800" w:type="dxa"/>
            <w:vAlign w:val="center"/>
            <w:shd w:fill="F6F8FA"/>
          </w:tcPr>
          <w:p>
            <w:pPr>
              <w:pStyle w:val="Cell"/>
            </w:pPr>
            <w:r>
              <w:t xml:space="preserve">Imagen de desarrollo, entrypoint, init de base y servicios.</w:t>
            </w:r>
          </w:p>
        </w:tc>
      </w:tr>
      <w:tr>
        <w:trPr>
          <w:cantSplit/>
        </w:trPr>
        <w:tc>
          <w:tcPr>
            <w:tcW w:w="2800" w:type="dxa"/>
            <w:vAlign w:val="center"/>
            <w:shd w:fill="FFFFFF"/>
          </w:tcPr>
          <w:p>
            <w:pPr>
              <w:pStyle w:val="Cell"/>
            </w:pPr>
            <w:r>
              <w:t xml:space="preserve">ml-service/</w:t>
            </w:r>
          </w:p>
        </w:tc>
        <w:tc>
          <w:tcPr>
            <w:tcW w:w="6800" w:type="dxa"/>
            <w:vAlign w:val="center"/>
            <w:shd w:fill="FFFFFF"/>
          </w:tcPr>
          <w:p>
            <w:pPr>
              <w:pStyle w:val="Cell"/>
            </w:pPr>
            <w:r>
              <w:t xml:space="preserve">Componente Python experimental y opcional; no selecciona personas.</w:t>
            </w:r>
          </w:p>
        </w:tc>
      </w:tr>
      <w:tr>
        <w:trPr>
          <w:cantSplit/>
        </w:trPr>
        <w:tc>
          <w:tcPr>
            <w:tcW w:w="2800" w:type="dxa"/>
            <w:vAlign w:val="center"/>
            <w:shd w:fill="F6F8FA"/>
          </w:tcPr>
          <w:p>
            <w:pPr>
              <w:pStyle w:val="Cell"/>
            </w:pPr>
            <w:r>
              <w:t xml:space="preserve">docs/</w:t>
            </w:r>
          </w:p>
        </w:tc>
        <w:tc>
          <w:tcPr>
            <w:tcW w:w="6800" w:type="dxa"/>
            <w:vAlign w:val="center"/>
            <w:shd w:fill="F6F8FA"/>
          </w:tcPr>
          <w:p>
            <w:pPr>
              <w:pStyle w:val="Cell"/>
            </w:pPr>
            <w:r>
              <w:t xml:space="preserve">Trazabilidad, QA histórico, modelos, contratos y evidencias académicas.</w:t>
            </w:r>
          </w:p>
        </w:tc>
      </w:tr>
    </w:tbl>
    <w:p>
      <w:pPr>
        <w:pStyle w:val="Meta"/>
      </w:pPr>
      <w:r>
        <w:t xml:space="preserve"/>
      </w:r>
    </w:p>
    <w:p>
      <w:pPr>
        <w:pStyle w:val="Heading1"/>
      </w:pPr>
      <w:r>
        <w:t xml:space="preserve">2 Manual técnico resumido</w:t>
      </w:r>
    </w:p>
    <w:p>
      <w:pPr>
        <w:pStyle w:val="Heading2"/>
      </w:pPr>
      <w:r>
        <w:t xml:space="preserve">2.1 Requisitos</w:t>
      </w:r>
    </w:p>
    <w:p>
      <w:pPr>
        <w:pStyle w:val="Normal"/>
      </w:pPr>
      <w:r>
        <w:t xml:space="preserve">El entorno soportado documenta Git, Docker Desktop o Docker Engine con Compose ≥2.24 y un navegador web. PHP, Composer, Node, PostgreSQL y Redis se definen dentro del entorno de contenedores. Deben estar disponibles los puertos configurados para aplicación y servicios locales. La compatibilidad mínima de SO, hardware y navegadores del expediente es [PENDIENTE DE CONFIRMACIÓN HUMANA].</w:t>
      </w:r>
    </w:p>
    <w:p>
      <w:pPr>
        <w:pStyle w:val="Normal"/>
      </w:pPr>
      <w:r>
        <w:t xml:space="preserve">Python ≥3.12 se requiere solo para el componente experimental o los validadores académicos correspondientes. El funcionamiento del núcleo Laravel no exige habilitar ML. No se inició el software durante la generación del paquete.</w:t>
      </w:r>
    </w:p>
    <w:p>
      <w:pPr>
        <w:pStyle w:val="Heading2"/>
      </w:pPr>
      <w:r>
        <w:t xml:space="preserve">2.2 Instalación y restauración</w:t>
      </w:r>
    </w:p>
    <w:p>
      <w:pPr>
        <w:pStyle w:val="Normal"/>
      </w:pPr>
      <w:r>
        <w:t xml:space="preserve">La instalación futura debe realizarse en un clon nuevo y un destino local descartable, exclusivamente con datos ficticios. La fuente de dependencias es composer.lock y package-lock.json. La receta completa se conserva en docs/docker.md y en el handoff posterior a F35-SBX.</w:t>
      </w:r>
    </w:p>
    <w:p>
      <w:pPr>
        <w:pStyle w:val="Normal"/>
      </w:pPr>
      <w:r>
        <w:t xml:space="preserve">Secuencia de referencia, no ejecutada durante esta generación:</w:t>
        <w:br/>
        <w:t xml:space="preserve">1. Obtener el repositorio y comprobar el commit elegido.</w:t>
        <w:br/>
        <w:t xml:space="preserve">2. Crear localmente el entorno a partir de la plantilla versionada, revisar destinos y credenciales sin publicarlas.</w:t>
        <w:br/>
        <w:t xml:space="preserve">3. Construir y levantar el entorno existente.</w:t>
        <w:br/>
        <w:t xml:space="preserve">4. Comprobar /health y registrar el resultado real.</w:t>
      </w:r>
    </w:p>
    <w:p>
      <w:pPr>
        <w:pStyle w:val="Meta"/>
      </w:pPr>
      <w:r>
        <w:t xml:space="preserve">Comandos documentados, para una fase autorizada de instalación:</w:t>
      </w:r>
    </w:p>
    <w:p>
      <w:pPr>
        <w:pStyle w:val="Code"/>
      </w:pPr>
      <w:r>
        <w:t xml:space="preserve">docker compose up -d --build --wait</w:t>
        <w:br/>
        <w:t xml:space="preserve">docker compose exec -T app composer install --no-interaction --prefer-dist</w:t>
        <w:br/>
        <w:t xml:space="preserve">docker compose exec -T app npm ci</w:t>
        <w:br/>
        <w:t xml:space="preserve">docker compose exec -T app npm run build</w:t>
      </w:r>
    </w:p>
    <w:p>
      <w:pPr>
        <w:pStyle w:val="Normal"/>
      </w:pPr>
      <w:r>
        <w:t xml:space="preserve">El entrypoint puede instalar dependencias si faltan, generar la clave local, compilar assets y ejecutar migraciones. El seeding es opcional. Por ello, levantar el entorno escribe archivos y esquema: no debe apuntarse a una base con datos valiosos o reales. Esta generación documental no ejecutó esos comandos.</w:t>
      </w:r>
    </w:p>
    <w:p>
      <w:pPr>
        <w:pStyle w:val="Heading2"/>
      </w:pPr>
      <w:r>
        <w:t xml:space="preserve">2.3 Configuración inicial y variables</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Área</w:t>
            </w:r>
          </w:p>
        </w:tc>
        <w:tc>
          <w:tcPr>
            <w:tcW w:w="6800" w:type="dxa"/>
            <w:vAlign w:val="center"/>
            <w:shd w:fill="E7EDF3"/>
          </w:tcPr>
          <w:p>
            <w:pPr>
              <w:pStyle w:val="CellHead"/>
            </w:pPr>
            <w:r>
              <w:t xml:space="preserve">Nombres de variables; sin valores</w:t>
            </w:r>
          </w:p>
        </w:tc>
      </w:tr>
      <w:tr>
        <w:trPr>
          <w:cantSplit/>
        </w:trPr>
        <w:tc>
          <w:tcPr>
            <w:tcW w:w="2800" w:type="dxa"/>
            <w:vAlign w:val="center"/>
            <w:shd w:fill="FFFFFF"/>
          </w:tcPr>
          <w:p>
            <w:pPr>
              <w:pStyle w:val="Cell"/>
            </w:pPr>
            <w:r>
              <w:t xml:space="preserve">Aplicación</w:t>
            </w:r>
          </w:p>
        </w:tc>
        <w:tc>
          <w:tcPr>
            <w:tcW w:w="6800" w:type="dxa"/>
            <w:vAlign w:val="center"/>
            <w:shd w:fill="FFFFFF"/>
          </w:tcPr>
          <w:p>
            <w:pPr>
              <w:pStyle w:val="Cell"/>
            </w:pPr>
            <w:r>
              <w:t xml:space="preserve">APP_NAME, APP_ENV, APP_KEY, APP_DEBUG, APP_URL, APP_PORT, APP_TIMEZONE.</w:t>
            </w:r>
          </w:p>
        </w:tc>
      </w:tr>
      <w:tr>
        <w:trPr>
          <w:cantSplit/>
        </w:trPr>
        <w:tc>
          <w:tcPr>
            <w:tcW w:w="2800" w:type="dxa"/>
            <w:vAlign w:val="center"/>
            <w:shd w:fill="F6F8FA"/>
          </w:tcPr>
          <w:p>
            <w:pPr>
              <w:pStyle w:val="Cell"/>
            </w:pPr>
            <w:r>
              <w:t xml:space="preserve">PostgreSQL</w:t>
            </w:r>
          </w:p>
        </w:tc>
        <w:tc>
          <w:tcPr>
            <w:tcW w:w="6800" w:type="dxa"/>
            <w:vAlign w:val="center"/>
            <w:shd w:fill="F6F8FA"/>
          </w:tcPr>
          <w:p>
            <w:pPr>
              <w:pStyle w:val="Cell"/>
            </w:pPr>
            <w:r>
              <w:t xml:space="preserve">DB_CONNECTION, DB_HOST, DB_PORT, DB_DATABASE, DB_USERNAME, DB_PASSWORD, DB_URL.</w:t>
            </w:r>
          </w:p>
        </w:tc>
      </w:tr>
      <w:tr>
        <w:trPr>
          <w:cantSplit/>
        </w:trPr>
        <w:tc>
          <w:tcPr>
            <w:tcW w:w="2800" w:type="dxa"/>
            <w:vAlign w:val="center"/>
            <w:shd w:fill="FFFFFF"/>
          </w:tcPr>
          <w:p>
            <w:pPr>
              <w:pStyle w:val="Cell"/>
            </w:pPr>
            <w:r>
              <w:t xml:space="preserve">Redis</w:t>
            </w:r>
          </w:p>
        </w:tc>
        <w:tc>
          <w:tcPr>
            <w:tcW w:w="6800" w:type="dxa"/>
            <w:vAlign w:val="center"/>
            <w:shd w:fill="FFFFFF"/>
          </w:tcPr>
          <w:p>
            <w:pPr>
              <w:pStyle w:val="Cell"/>
            </w:pPr>
            <w:r>
              <w:t xml:space="preserve">REDIS_CLIENT, REDIS_HOST, REDIS_PORT, REDIS_PASSWORD, REDIS_DB, REDIS_CACHE_DB, REDIS_PREFIX.</w:t>
            </w:r>
          </w:p>
        </w:tc>
      </w:tr>
      <w:tr>
        <w:trPr>
          <w:cantSplit/>
        </w:trPr>
        <w:tc>
          <w:tcPr>
            <w:tcW w:w="2800" w:type="dxa"/>
            <w:vAlign w:val="center"/>
            <w:shd w:fill="F6F8FA"/>
          </w:tcPr>
          <w:p>
            <w:pPr>
              <w:pStyle w:val="Cell"/>
            </w:pPr>
            <w:r>
              <w:t xml:space="preserve">Estado y correo</w:t>
            </w:r>
          </w:p>
        </w:tc>
        <w:tc>
          <w:tcPr>
            <w:tcW w:w="6800" w:type="dxa"/>
            <w:vAlign w:val="center"/>
            <w:shd w:fill="F6F8FA"/>
          </w:tcPr>
          <w:p>
            <w:pPr>
              <w:pStyle w:val="Cell"/>
            </w:pPr>
            <w:r>
              <w:t xml:space="preserve">SESSION_DRIVER, CACHE_STORE, QUEUE_CONNECTION, MAIL_MAILER, MAIL_HOST, MAIL_USERNAME, MAIL_PASSWORD.</w:t>
            </w:r>
          </w:p>
        </w:tc>
      </w:tr>
      <w:tr>
        <w:trPr>
          <w:cantSplit/>
        </w:trPr>
        <w:tc>
          <w:tcPr>
            <w:tcW w:w="2800" w:type="dxa"/>
            <w:vAlign w:val="center"/>
            <w:shd w:fill="FFFFFF"/>
          </w:tcPr>
          <w:p>
            <w:pPr>
              <w:pStyle w:val="Cell"/>
            </w:pPr>
            <w:r>
              <w:t xml:space="preserve">Archivos y pruebas</w:t>
            </w:r>
          </w:p>
        </w:tc>
        <w:tc>
          <w:tcPr>
            <w:tcW w:w="6800" w:type="dxa"/>
            <w:vAlign w:val="center"/>
            <w:shd w:fill="FFFFFF"/>
          </w:tcPr>
          <w:p>
            <w:pPr>
              <w:pStyle w:val="Cell"/>
            </w:pPr>
            <w:r>
              <w:t xml:space="preserve">FILESYSTEM_DISK, CV_MAX_KB, SEED_ON_BOOT, E2E_ENABLED, E2E_TOKEN, E2E_DATABASE.</w:t>
            </w:r>
          </w:p>
        </w:tc>
      </w:tr>
      <w:tr>
        <w:trPr>
          <w:cantSplit/>
        </w:trPr>
        <w:tc>
          <w:tcPr>
            <w:tcW w:w="2800" w:type="dxa"/>
            <w:vAlign w:val="center"/>
            <w:shd w:fill="F6F8FA"/>
          </w:tcPr>
          <w:p>
            <w:pPr>
              <w:pStyle w:val="Cell"/>
            </w:pPr>
            <w:r>
              <w:t xml:space="preserve">ML opcional</w:t>
            </w:r>
          </w:p>
        </w:tc>
        <w:tc>
          <w:tcPr>
            <w:tcW w:w="6800" w:type="dxa"/>
            <w:vAlign w:val="center"/>
            <w:shd w:fill="F6F8FA"/>
          </w:tcPr>
          <w:p>
            <w:pPr>
              <w:pStyle w:val="Cell"/>
            </w:pPr>
            <w:r>
              <w:t xml:space="preserve">ML_SERVICE_ENABLED, ML_SERVICE_URL, ML_SERVICE_TOKEN, ML_SERVICE_TIMEOUT, ML_SERVICE_CONNECT_TIMEOUT.</w:t>
            </w:r>
          </w:p>
        </w:tc>
      </w:tr>
      <w:tr>
        <w:trPr>
          <w:cantSplit/>
        </w:trPr>
        <w:tc>
          <w:tcPr>
            <w:tcW w:w="2800" w:type="dxa"/>
            <w:vAlign w:val="center"/>
            <w:shd w:fill="FFFFFF"/>
          </w:tcPr>
          <w:p>
            <w:pPr>
              <w:pStyle w:val="Cell"/>
            </w:pPr>
            <w:r>
              <w:t xml:space="preserve">Frontend</w:t>
            </w:r>
          </w:p>
        </w:tc>
        <w:tc>
          <w:tcPr>
            <w:tcW w:w="6800" w:type="dxa"/>
            <w:vAlign w:val="center"/>
            <w:shd w:fill="FFFFFF"/>
          </w:tcPr>
          <w:p>
            <w:pPr>
              <w:pStyle w:val="Cell"/>
            </w:pPr>
            <w:r>
              <w:t xml:space="preserve">VITE_APP_NAME.</w:t>
            </w:r>
          </w:p>
        </w:tc>
      </w:tr>
    </w:tbl>
    <w:p>
      <w:pPr>
        <w:pStyle w:val="Meta"/>
      </w:pPr>
      <w:r>
        <w:t xml:space="preserve"/>
      </w:r>
    </w:p>
    <w:p>
      <w:pPr>
        <w:pStyle w:val="Normal"/>
      </w:pPr>
      <w:r>
        <w:t xml:space="preserve">Los valores efectivos son locales y privados. APP_KEY debe generarse en el entorno de destino. No copiar claves ni credenciales de otro equipo. Los ejemplos de entorno no son una autorización de uso productivo. El aprovisionamiento de personal y organizaciones del entorno demostrado utiliza seeders; un procedimiento operativo definitivo está [PENDIENTE DE CONFIRMACIÓN HUMANA]. No existe un rol Admin/SuperAdmin que deba inventarse para esta instalación.</w:t>
      </w:r>
    </w:p>
    <w:p>
      <w:pPr>
        <w:pStyle w:val="Heading2"/>
      </w:pPr>
      <w:r>
        <w:t xml:space="preserve">2.4 PostgreSQL y almacenamiento</w:t>
      </w:r>
    </w:p>
    <w:p>
      <w:pPr>
        <w:pStyle w:val="Normal"/>
      </w:pPr>
      <w:r>
        <w:t xml:space="preserve">PostgreSQL es la base de referencia: las migraciones usan JSONB, CHECK, ILIKE, índices parciales y un trigger. Se identificaron 26 tablas declaradas en migraciones del proyecto, además de la tabla de control de migraciones del framework. Las notas por criterio y las decisiones se conservan bajo sus entidades y restricciones.</w:t>
      </w:r>
    </w:p>
    <w:p>
      <w:pPr>
        <w:pStyle w:val="Normal"/>
      </w:pPr>
      <w:r>
        <w:t xml:space="preserve">El CV se almacena como PDF en disco local privado, con nombre generado. La aplicación valida tipo, MIME y tamaño, y autoriza descargas por Policy. No se incorpora ningún CV al paquete. Copias de seguridad, retención y restauración operativa: [PENDIENTE DE CONFIRMACIÓN HUMANA].</w:t>
      </w:r>
    </w:p>
    <w:p>
      <w:pPr>
        <w:pStyle w:val="Heading2"/>
      </w:pPr>
      <w:r>
        <w:t xml:space="preserve">2.5 Redis y procesos asíncronos</w:t>
      </w:r>
    </w:p>
    <w:p>
      <w:pPr>
        <w:pStyle w:val="Normal"/>
      </w:pPr>
      <w:r>
        <w:t xml:space="preserve">La receta Compose utiliza Redis para sesiones, caché y colas. El worker procesa notificaciones de base de datos/correo después de confirmar las transacciones. La aplicación y el worker comparten configuración y acceso al código. La base de PHPUnit y el entorno E2E se separan de la base normal; eso no justifica ejecutar resets en un entorno valioso.</w:t>
      </w:r>
    </w:p>
    <w:p>
      <w:pPr>
        <w:pStyle w:val="Heading2"/>
      </w:pPr>
      <w:r>
        <w:t xml:space="preserve">2.6 Docker backend y frontend</w:t>
      </w:r>
    </w:p>
    <w:p>
      <w:pPr>
        <w:pStyle w:val="Normal"/>
      </w:pPr>
      <w:r>
        <w:t xml:space="preserve">Los servicios normales son app, queue, postgres y redis. El perfil e2e añade app-e2e, queue-e2e y cypress. Existen volúmenes pgdata, redisdata, vendor y node_modules. Laravel sirve la aplicación; Vite compila frontend y genera rutas/acciones Wayfinder. No existe un contenedor independiente de frontend ni un servicio Compose para ML.</w:t>
      </w:r>
    </w:p>
    <w:p>
      <w:pPr>
        <w:pStyle w:val="Normal"/>
      </w:pPr>
      <w:r>
        <w:t xml:space="preserve">Las imágenes y versiones son configuración de desarrollo/demostración. No se presenta una receta de producción, cloud, escalamiento horizontal o alta disponibilidad.</w:t>
      </w:r>
    </w:p>
    <w:p>
      <w:pPr>
        <w:pStyle w:val="Heading2"/>
      </w:pPr>
      <w:r>
        <w:t xml:space="preserve">2.7 Ejecución y diagnóstico</w:t>
      </w:r>
    </w:p>
    <w:p>
      <w:pPr>
        <w:pStyle w:val="Normal"/>
      </w:pPr>
      <w:r>
        <w:t xml:space="preserve">La URL local y sus puertos dependen de la configuración elegida. /health comprueba conectividad con PostgreSQL y Redis; /up es la sonda Laravel. Registrar por separado proceso vivo, servicios disponibles y funcionamiento del flujo. ML puede permanecer desactivado; si falla, la tarjeta muestra un estado descriptivo/no disponible y no bloquea el reclutamiento.</w:t>
      </w:r>
    </w:p>
    <w:p>
      <w:pPr>
        <w:pStyle w:val="Heading2"/>
      </w:pPr>
      <w:r>
        <w:t xml:space="preserve">2.8 Pruebas</w:t>
      </w:r>
    </w:p>
    <w:p>
      <w:pPr>
        <w:pStyle w:val="Normal"/>
      </w:pPr>
      <w:r>
        <w:t xml:space="preserve">El repositorio contiene PHPUnit, componentes Vitest, TypeScript, Cypress y pytest del componente experimental. Los comandos de las suites se documentan en docs/testing y CI. PHPUnit usa reclutamiento_testing; Cypress dispone de base y token propios. No se ejecutó ninguna suite durante esta generación.</w:t>
      </w:r>
    </w:p>
    <w:p>
      <w:pPr>
        <w:pStyle w:val="Normal"/>
      </w:pPr>
      <w:r>
        <w:t xml:space="preserve">Resultados históricos documentados; no fueron ejecutados nuevamente durante la generación documental. El resumen de cifras y sus fuentes se conserva en el Anexo F de 06_Anexos_Tecnicos_SaaS_Reclutamiento.docx.</w:t>
      </w:r>
    </w:p>
    <w:p>
      <w:pPr>
        <w:pStyle w:val="Heading2"/>
      </w:pPr>
      <w:r>
        <w:t xml:space="preserve">2.9 Mantenimiento y actualización</w:t>
      </w:r>
    </w:p>
    <w:p>
      <w:pPr>
        <w:pStyle w:val="Normal"/>
      </w:pPr>
      <w:r>
        <w:t xml:space="preserve">Conservar locks, CHANGELOG, trazabilidad y contratos de rol/organización. Toda actualización debe revisarse y probarse proporcionalmente. No se programa una actualización automática ni una frecuencia de backup por copiar el ejemplo de una plantilla. Responsables, soporte y política operativa: [PENDIENTE DE CONFIRMACIÓN HUMANA].</w:t>
      </w:r>
    </w:p>
    <w:p>
      <w:pPr>
        <w:pStyle w:val="Heading1"/>
      </w:pPr>
      <w:r>
        <w:t xml:space="preserve">3 Uso básico por rol</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Rol real</w:t>
            </w:r>
          </w:p>
        </w:tc>
        <w:tc>
          <w:tcPr>
            <w:tcW w:w="6800" w:type="dxa"/>
            <w:vAlign w:val="center"/>
            <w:shd w:fill="E7EDF3"/>
          </w:tcPr>
          <w:p>
            <w:pPr>
              <w:pStyle w:val="CellHead"/>
            </w:pPr>
            <w:r>
              <w:t xml:space="preserve">Acciones principales</w:t>
            </w:r>
          </w:p>
        </w:tc>
      </w:tr>
      <w:tr>
        <w:trPr>
          <w:cantSplit/>
        </w:trPr>
        <w:tc>
          <w:tcPr>
            <w:tcW w:w="2800" w:type="dxa"/>
            <w:vAlign w:val="center"/>
            <w:shd w:fill="FFFFFF"/>
          </w:tcPr>
          <w:p>
            <w:pPr>
              <w:pStyle w:val="Cell"/>
            </w:pPr>
            <w:r>
              <w:t xml:space="preserve">Solicitante</w:t>
            </w:r>
          </w:p>
        </w:tc>
        <w:tc>
          <w:tcPr>
            <w:tcW w:w="6800" w:type="dxa"/>
            <w:vAlign w:val="center"/>
            <w:shd w:fill="FFFFFF"/>
          </w:tcPr>
          <w:p>
            <w:pPr>
              <w:pStyle w:val="Cell"/>
            </w:pPr>
            <w:r>
              <w:t xml:space="preserve">Registra, corrige y envía requerimientos de personal de su ámbito autorizado.</w:t>
            </w:r>
          </w:p>
        </w:tc>
      </w:tr>
      <w:tr>
        <w:trPr>
          <w:cantSplit/>
        </w:trPr>
        <w:tc>
          <w:tcPr>
            <w:tcW w:w="2800" w:type="dxa"/>
            <w:vAlign w:val="center"/>
            <w:shd w:fill="F6F8FA"/>
          </w:tcPr>
          <w:p>
            <w:pPr>
              <w:pStyle w:val="Cell"/>
            </w:pPr>
            <w:r>
              <w:t xml:space="preserve">RR. HH.</w:t>
            </w:r>
          </w:p>
        </w:tc>
        <w:tc>
          <w:tcPr>
            <w:tcW w:w="6800" w:type="dxa"/>
            <w:vAlign w:val="center"/>
            <w:shd w:fill="F6F8FA"/>
          </w:tcPr>
          <w:p>
            <w:pPr>
              <w:pStyle w:val="Cell"/>
            </w:pPr>
            <w:r>
              <w:t xml:space="preserve">Revisa requerimientos; configura/publica vacantes; revisa postulaciones; programa sesiones; registra selección y cierre.</w:t>
            </w:r>
          </w:p>
        </w:tc>
      </w:tr>
      <w:tr>
        <w:trPr>
          <w:cantSplit/>
        </w:trPr>
        <w:tc>
          <w:tcPr>
            <w:tcW w:w="2800" w:type="dxa"/>
            <w:vAlign w:val="center"/>
            <w:shd w:fill="FFFFFF"/>
          </w:tcPr>
          <w:p>
            <w:pPr>
              <w:pStyle w:val="Cell"/>
            </w:pPr>
            <w:r>
              <w:t xml:space="preserve">Aprobador/Dirección</w:t>
            </w:r>
          </w:p>
        </w:tc>
        <w:tc>
          <w:tcPr>
            <w:tcW w:w="6800" w:type="dxa"/>
            <w:vAlign w:val="center"/>
            <w:shd w:fill="FFFFFF"/>
          </w:tcPr>
          <w:p>
            <w:pPr>
              <w:pStyle w:val="Cell"/>
            </w:pPr>
            <w:r>
              <w:t xml:space="preserve">Aprueba/rechaza requerimientos; consulta comparación; registra la decisión final humana; consulta auditoría.</w:t>
            </w:r>
          </w:p>
        </w:tc>
      </w:tr>
      <w:tr>
        <w:trPr>
          <w:cantSplit/>
        </w:trPr>
        <w:tc>
          <w:tcPr>
            <w:tcW w:w="2800" w:type="dxa"/>
            <w:vAlign w:val="center"/>
            <w:shd w:fill="F6F8FA"/>
          </w:tcPr>
          <w:p>
            <w:pPr>
              <w:pStyle w:val="Cell"/>
            </w:pPr>
            <w:r>
              <w:t xml:space="preserve">Evaluador</w:t>
            </w:r>
          </w:p>
        </w:tc>
        <w:tc>
          <w:tcPr>
            <w:tcW w:w="6800" w:type="dxa"/>
            <w:vAlign w:val="center"/>
            <w:shd w:fill="F6F8FA"/>
          </w:tcPr>
          <w:p>
            <w:pPr>
              <w:pStyle w:val="Cell"/>
            </w:pPr>
            <w:r>
              <w:t xml:space="preserve">Consulta sus sesiones asignadas y registra notas/observaciones de evaluaciones o entrevistas.</w:t>
            </w:r>
          </w:p>
        </w:tc>
      </w:tr>
      <w:tr>
        <w:trPr>
          <w:cantSplit/>
        </w:trPr>
        <w:tc>
          <w:tcPr>
            <w:tcW w:w="2800" w:type="dxa"/>
            <w:vAlign w:val="center"/>
            <w:shd w:fill="FFFFFF"/>
          </w:tcPr>
          <w:p>
            <w:pPr>
              <w:pStyle w:val="Cell"/>
            </w:pPr>
            <w:r>
              <w:t xml:space="preserve">Postulante</w:t>
            </w:r>
          </w:p>
        </w:tc>
        <w:tc>
          <w:tcPr>
            <w:tcW w:w="6800" w:type="dxa"/>
            <w:vAlign w:val="center"/>
            <w:shd w:fill="FFFFFF"/>
          </w:tcPr>
          <w:p>
            <w:pPr>
              <w:pStyle w:val="Cell"/>
            </w:pPr>
            <w:r>
              <w:t xml:space="preserve">Gestiona su perfil/CV y sus propias postulaciones, seguimiento y convocatorias.</w:t>
            </w:r>
          </w:p>
        </w:tc>
      </w:tr>
    </w:tbl>
    <w:p>
      <w:pPr>
        <w:pStyle w:val="Meta"/>
      </w:pPr>
      <w:r>
        <w:t xml:space="preserve"/>
      </w:r>
    </w:p>
    <w:p>
      <w:pPr>
        <w:pStyle w:val="Normal"/>
      </w:pPr>
      <w:r>
        <w:t xml:space="preserve">Recorrido principal: requerimiento → revisión y aprobación → configuración/publicación → postulación → revisión y sesiones → ranking → decisión humana → selección y cierre. Los descartes y cambios manuales pertenecen a personas autorizadas. La aplicación no contrata automáticamente; el MVP registra un seleccionado por vacante.</w:t>
      </w:r>
    </w:p>
    <w:p>
      <w:pPr>
        <w:pStyle w:val="Heading1"/>
      </w:pPr>
      <w:r>
        <w:t xml:space="preserve">4 Interfaces y evidencia gráfica</w:t>
      </w:r>
    </w:p>
    <w:p>
      <w:pPr>
        <w:pStyle w:val="Normal"/>
      </w:pPr>
      <w:r>
        <w:t xml:space="preserve">Las seis capturas previstas se describen en el Anexo G del documento técnico. No se insertan capturas históricas sin verificar correspondencia, legibilidad y datos ficticios. Estado de las interfaces del ejemplar: [CAPTURA PENDIENTE DE GENERACIÓN].</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Pantalla</w:t>
            </w:r>
          </w:p>
        </w:tc>
        <w:tc>
          <w:tcPr>
            <w:tcW w:w="6800" w:type="dxa"/>
            <w:vAlign w:val="center"/>
            <w:shd w:fill="E7EDF3"/>
          </w:tcPr>
          <w:p>
            <w:pPr>
              <w:pStyle w:val="CellHead"/>
            </w:pPr>
            <w:r>
              <w:t xml:space="preserve">Referencia</w:t>
            </w:r>
          </w:p>
        </w:tc>
      </w:tr>
      <w:tr>
        <w:trPr>
          <w:cantSplit/>
        </w:trPr>
        <w:tc>
          <w:tcPr>
            <w:tcW w:w="2800" w:type="dxa"/>
            <w:vAlign w:val="center"/>
            <w:shd w:fill="FFFFFF"/>
          </w:tcPr>
          <w:p>
            <w:pPr>
              <w:pStyle w:val="Cell"/>
            </w:pPr>
            <w:r>
              <w:t xml:space="preserve">Login</w:t>
            </w:r>
          </w:p>
        </w:tc>
        <w:tc>
          <w:tcPr>
            <w:tcW w:w="6800" w:type="dxa"/>
            <w:vAlign w:val="center"/>
            <w:shd w:fill="FFFFFF"/>
          </w:tcPr>
          <w:p>
            <w:pPr>
              <w:pStyle w:val="Cell"/>
            </w:pPr>
            <w:r>
              <w:t xml:space="preserve">/login; resources/js/pages/auth/login.tsx</w:t>
            </w:r>
          </w:p>
        </w:tc>
      </w:tr>
      <w:tr>
        <w:trPr>
          <w:cantSplit/>
        </w:trPr>
        <w:tc>
          <w:tcPr>
            <w:tcW w:w="2800" w:type="dxa"/>
            <w:vAlign w:val="center"/>
            <w:shd w:fill="F6F8FA"/>
          </w:tcPr>
          <w:p>
            <w:pPr>
              <w:pStyle w:val="Cell"/>
            </w:pPr>
            <w:r>
              <w:t xml:space="preserve">Requerimiento</w:t>
            </w:r>
          </w:p>
        </w:tc>
        <w:tc>
          <w:tcPr>
            <w:tcW w:w="6800" w:type="dxa"/>
            <w:vAlign w:val="center"/>
            <w:shd w:fill="F6F8FA"/>
          </w:tcPr>
          <w:p>
            <w:pPr>
              <w:pStyle w:val="Cell"/>
            </w:pPr>
            <w:r>
              <w:t xml:space="preserve">/requerimientos/{jobRequest}; pages/job-requests/show.tsx</w:t>
            </w:r>
          </w:p>
        </w:tc>
      </w:tr>
      <w:tr>
        <w:trPr>
          <w:cantSplit/>
        </w:trPr>
        <w:tc>
          <w:tcPr>
            <w:tcW w:w="2800" w:type="dxa"/>
            <w:vAlign w:val="center"/>
            <w:shd w:fill="FFFFFF"/>
          </w:tcPr>
          <w:p>
            <w:pPr>
              <w:pStyle w:val="Cell"/>
            </w:pPr>
            <w:r>
              <w:t xml:space="preserve">Vacante</w:t>
            </w:r>
          </w:p>
        </w:tc>
        <w:tc>
          <w:tcPr>
            <w:tcW w:w="6800" w:type="dxa"/>
            <w:vAlign w:val="center"/>
            <w:shd w:fill="FFFFFF"/>
          </w:tcPr>
          <w:p>
            <w:pPr>
              <w:pStyle w:val="Cell"/>
            </w:pPr>
            <w:r>
              <w:t xml:space="preserve">/vacantes/{vacancy}; pages/vacancies/show.tsx</w:t>
            </w:r>
          </w:p>
        </w:tc>
      </w:tr>
      <w:tr>
        <w:trPr>
          <w:cantSplit/>
        </w:trPr>
        <w:tc>
          <w:tcPr>
            <w:tcW w:w="2800" w:type="dxa"/>
            <w:vAlign w:val="center"/>
            <w:shd w:fill="F6F8FA"/>
          </w:tcPr>
          <w:p>
            <w:pPr>
              <w:pStyle w:val="Cell"/>
            </w:pPr>
            <w:r>
              <w:t xml:space="preserve">Expediente</w:t>
            </w:r>
          </w:p>
        </w:tc>
        <w:tc>
          <w:tcPr>
            <w:tcW w:w="6800" w:type="dxa"/>
            <w:vAlign w:val="center"/>
            <w:shd w:fill="F6F8FA"/>
          </w:tcPr>
          <w:p>
            <w:pPr>
              <w:pStyle w:val="Cell"/>
            </w:pPr>
            <w:r>
              <w:t xml:space="preserve">/postulaciones/{application}; pages/applications/show.tsx</w:t>
            </w:r>
          </w:p>
        </w:tc>
      </w:tr>
      <w:tr>
        <w:trPr>
          <w:cantSplit/>
        </w:trPr>
        <w:tc>
          <w:tcPr>
            <w:tcW w:w="2800" w:type="dxa"/>
            <w:vAlign w:val="center"/>
            <w:shd w:fill="FFFFFF"/>
          </w:tcPr>
          <w:p>
            <w:pPr>
              <w:pStyle w:val="Cell"/>
            </w:pPr>
            <w:r>
              <w:t xml:space="preserve">Evaluación o entrevista</w:t>
            </w:r>
          </w:p>
        </w:tc>
        <w:tc>
          <w:tcPr>
            <w:tcW w:w="6800" w:type="dxa"/>
            <w:vAlign w:val="center"/>
            <w:shd w:fill="FFFFFF"/>
          </w:tcPr>
          <w:p>
            <w:pPr>
              <w:pStyle w:val="Cell"/>
            </w:pPr>
            <w:r>
              <w:t xml:space="preserve">/evaluaciones/{evaluation} o /entrevistas/{interview}; pages/assessments/show.tsx</w:t>
            </w:r>
          </w:p>
        </w:tc>
      </w:tr>
      <w:tr>
        <w:trPr>
          <w:cantSplit/>
        </w:trPr>
        <w:tc>
          <w:tcPr>
            <w:tcW w:w="2800" w:type="dxa"/>
            <w:vAlign w:val="center"/>
            <w:shd w:fill="F6F8FA"/>
          </w:tcPr>
          <w:p>
            <w:pPr>
              <w:pStyle w:val="Cell"/>
            </w:pPr>
            <w:r>
              <w:t xml:space="preserve">Comparación y decisión humana</w:t>
            </w:r>
          </w:p>
        </w:tc>
        <w:tc>
          <w:tcPr>
            <w:tcW w:w="6800" w:type="dxa"/>
            <w:vAlign w:val="center"/>
            <w:shd w:fill="F6F8FA"/>
          </w:tcPr>
          <w:p>
            <w:pPr>
              <w:pStyle w:val="Cell"/>
            </w:pPr>
            <w:r>
              <w:t xml:space="preserve">/vacantes/{vacancy}/comparacion; pages/selection/comparison.tsx</w:t>
            </w:r>
          </w:p>
        </w:tc>
      </w:tr>
    </w:tbl>
    <w:p>
      <w:pPr>
        <w:pStyle w:val="Meta"/>
      </w:pPr>
      <w:r>
        <w:t xml:space="preserve"/>
      </w:r>
    </w:p>
    <w:p>
      <w:pPr>
        <w:pStyle w:val="Heading1"/>
      </w:pPr>
      <w:r>
        <w:t xml:space="preserve">5 Fuentes y observaciones</w:t>
      </w:r>
    </w:p>
    <w:p>
      <w:pPr>
        <w:pStyle w:val="Normal"/>
      </w:pPr>
      <w:r>
        <w:t xml:space="preserve">Fuente principal: docs/REPORTE_AUDITORIA_DOCUMENTAL.md, secciones 3–14. Referencias de estructura: Documento 2 de las plantillas y plantilla general. La versión del registro, autores validados y titularidad continúan pendientes. Este ejemplar técnico no sustituye declaraciones personales ni la revisión administrativa vigente.</w:t>
      </w:r>
    </w:p>
    <w:sectPr>
      <w:footerReference w:type="default" r:id="rIdFooter"/>
      <w:pgSz w:w="11906" w:h="16838"/>
      <w:pgMar w:top="1134" w:right="1134" w:bottom="1134" w:left="1134" w:header="500" w:footer="50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pStyle w:val="Meta"/>
      <w:jc w:val="center"/>
    </w:pPr>
    <w:r>
      <w:t xml:space="preserve">Documento para revisión humana</w:t>
    </w:r>
  </w:p>
  <w:p>
    <w:pPr>
      <w:jc w:val="center"/>
    </w:pPr>
    <w:r>
      <w:t xml:space="preserve">Página </w:t>
    </w:r>
    <w:fldSimple w:instr="PAGE">
      <w:r>
        <w:t xml:space="preserve">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73AEE"/>
    <w:multiLevelType w:val="multilevel"/>
    <w:tmpl w:val="F02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675CA"/>
    <w:multiLevelType w:val="multilevel"/>
    <w:tmpl w:val="290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44874"/>
    <w:multiLevelType w:val="multilevel"/>
    <w:tmpl w:val="BF1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24173"/>
    <w:multiLevelType w:val="multilevel"/>
    <w:tmpl w:val="5B5E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84019"/>
    <w:multiLevelType w:val="multilevel"/>
    <w:tmpl w:val="760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964F7"/>
    <w:multiLevelType w:val="multilevel"/>
    <w:tmpl w:val="29D8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19E2"/>
    <w:multiLevelType w:val="multilevel"/>
    <w:tmpl w:val="420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A25BC"/>
    <w:multiLevelType w:val="multilevel"/>
    <w:tmpl w:val="886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80042"/>
    <w:multiLevelType w:val="multilevel"/>
    <w:tmpl w:val="457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0617F"/>
    <w:multiLevelType w:val="multilevel"/>
    <w:tmpl w:val="375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7"/>
  </w:num>
  <w:num w:numId="4">
    <w:abstractNumId w:val="3"/>
  </w:num>
  <w:num w:numId="5">
    <w:abstractNumId w:val="5"/>
  </w:num>
  <w:num w:numId="6">
    <w:abstractNumId w:val="9"/>
  </w:num>
  <w:num w:numId="7">
    <w:abstractNumId w:val="0"/>
  </w:num>
  <w:num w:numId="8">
    <w:abstractNumId w:val="8"/>
  </w:num>
  <w:num w:numId="9">
    <w:abstractNumId w:val="6"/>
  </w:num>
  <w:num w:numId="10">
    <w:abstractNumId w:val="2"/>
  </w:num>
</w:numbering>
</file>

<file path=word/settings.xml><?xml version="1.0" encoding="utf-8"?>
<w:settings xmlns:w="http://schemas.openxmlformats.org/wordprocessingml/2006/main">
  <w:zoom w:percent="100"/>
  <w:defaultTabStop w:val="320"/>
  <w:updateFields w:val="true"/>
</w:settings>
</file>

<file path=word/styles.xml><?xml version="1.0" encoding="utf-8"?>
<w:styles xmlns:w="http://schemas.openxmlformats.org/wordprocessingml/2006/main">
  <w:docDefaults>
    <w:rPrDefault>
      <w:rPr>
        <w:rFonts w:ascii="Arial" w:hAnsi="Arial"/>
        <w:sz w:val="22"/>
        <w:b w:val="0"/>
        <w:lang w:val="es-PE"/>
      </w:rPr>
    </w:rPrDefault>
    <w:pPrDefault>
      <w:pPr>
        <w:spacing w:after="100" w:line="264" w:lineRule="auto"/>
        <w:widowControl/>
      </w:pPr>
    </w:pPrDefault>
  </w:docDefaults>
  <w:style w:type="paragraph" w:default="1" w:styleId="Normal">
    <w:name w:val="Normal"/>
    <w:rPr>
      <w:rFonts w:ascii="Arial" w:hAnsi="Arial"/>
      <w:sz w:val="22"/>
      <w:b w:val="0"/>
    </w:rPr>
  </w:style>
  <w:style w:type="paragraph" w:styleId="Title">
    <w:name w:val="Title"/>
    <w:basedOn w:val="Normal"/>
    <w:pPr>
      <w:spacing w:before="0" w:after="160"/>
      <w:keepNext/>
    </w:pPr>
    <w:rPr>
      <w:rFonts w:ascii="Arial" w:hAnsi="Arial" w:eastAsia="Arial"/>
      <w:color w:val="000000"/>
      <w:sz w:val="38"/>
      <w:b w:val="1"/>
    </w:rPr>
  </w:style>
  <w:style w:type="paragraph" w:styleId="Subtitle">
    <w:name w:val="Subtitle"/>
    <w:basedOn w:val="Normal"/>
    <w:pPr>
      <w:spacing w:after="130"/>
      <w:keepNext/>
    </w:pPr>
    <w:rPr>
      <w:rFonts w:ascii="Arial" w:hAnsi="Arial" w:eastAsia="Arial"/>
      <w:color w:val="000000"/>
      <w:sz w:val="25"/>
      <w:b w:val="1"/>
    </w:rPr>
  </w:style>
  <w:style w:type="paragraph" w:styleId="Heading1">
    <w:name w:val="heading 1"/>
    <w:basedOn w:val="Normal"/>
    <w:pPr>
      <w:spacing w:before="200" w:after="100"/>
      <w:keepNext/>
      <w:keepLines/>
      <w:outlineLvl w:val="0"/>
    </w:pPr>
    <w:rPr>
      <w:rFonts w:ascii="Arial" w:hAnsi="Arial" w:eastAsia="Arial"/>
      <w:color w:val="000000"/>
      <w:sz w:val="28"/>
      <w:b w:val="1"/>
    </w:rPr>
  </w:style>
  <w:style w:type="paragraph" w:styleId="Heading2">
    <w:name w:val="heading 2"/>
    <w:basedOn w:val="Normal"/>
    <w:pPr>
      <w:spacing w:before="140" w:after="80"/>
      <w:keepNext/>
      <w:keepLines/>
      <w:outlineLvl w:val="1"/>
    </w:pPr>
    <w:rPr>
      <w:rFonts w:ascii="Arial" w:hAnsi="Arial" w:eastAsia="Arial"/>
      <w:color w:val="000000"/>
      <w:sz w:val="24"/>
      <w:b w:val="1"/>
    </w:rPr>
  </w:style>
  <w:style w:type="paragraph" w:styleId="Meta">
    <w:name w:val="Metadata"/>
    <w:basedOn w:val="Normal"/>
    <w:pPr>
      <w:spacing w:after="60" w:line="228"/>
      <w:keepLines/>
    </w:pPr>
    <w:rPr>
      <w:rFonts w:ascii="Arial" w:hAnsi="Arial" w:eastAsia="Arial"/>
      <w:color w:val="000000"/>
      <w:sz w:val="19"/>
      <w:b w:val="0"/>
    </w:rPr>
  </w:style>
  <w:style w:type="paragraph" w:styleId="Cell">
    <w:name w:val="Table text"/>
    <w:basedOn w:val="Normal"/>
    <w:pPr>
      <w:spacing w:after="50" w:line="240"/>
      <w:widowControl/>
    </w:pPr>
    <w:rPr>
      <w:rFonts w:ascii="Arial" w:hAnsi="Arial" w:eastAsia="Arial"/>
      <w:color w:val="000000"/>
      <w:sz w:val="20"/>
      <w:b w:val="0"/>
    </w:rPr>
  </w:style>
  <w:style w:type="paragraph" w:styleId="CellHead">
    <w:name w:val="Table header"/>
    <w:basedOn w:val="Normal"/>
    <w:pPr>
      <w:spacing w:after="40"/>
      <w:keepNext/>
    </w:pPr>
    <w:rPr>
      <w:rFonts w:ascii="Arial" w:hAnsi="Arial" w:eastAsia="Arial"/>
      <w:color w:val="000000"/>
      <w:sz w:val="20"/>
      <w:b w:val="1"/>
    </w:rPr>
  </w:style>
  <w:style w:type="paragraph" w:styleId="Caption">
    <w:name w:val="Caption"/>
    <w:basedOn w:val="Normal"/>
    <w:pPr>
      <w:spacing w:before="60" w:after="120"/>
      <w:keepLines/>
    </w:pPr>
    <w:rPr>
      <w:rFonts w:ascii="Arial" w:hAnsi="Arial" w:eastAsia="Arial"/>
      <w:color w:val="000000"/>
      <w:sz w:val="19"/>
      <w:b w:val="0"/>
    </w:rPr>
  </w:style>
  <w:style w:type="paragraph" w:styleId="Code">
    <w:name w:val="Code"/>
    <w:basedOn w:val="Normal"/>
    <w:pPr>
      <w:spacing w:before="0" w:after="0" w:line="208" w:lineRule="exact"/>
      <w:widowControl w:val="0"/>
      <w:tabs>
        <w:tab w:val="left" w:pos="320"/>
      </w:tabs>
    </w:pPr>
    <w:rPr>
      <w:rFonts w:ascii="Consolas" w:hAnsi="Consolas" w:eastAsia="Consolas"/>
      <w:color w:val="000000"/>
      <w:sz w:val="18"/>
      <w:b w:val="0"/>
    </w:rPr>
  </w:style>
  <w:style w:type="paragraph" w:styleId="Pending">
    <w:name w:val="Pending"/>
    <w:basedOn w:val="Normal"/>
    <w:pPr>
      <w:spacing w:after="110"/>
      <w:keepLines/>
    </w:pPr>
    <w:rPr>
      <w:rFonts w:ascii="Arial" w:hAnsi="Arial" w:eastAsia="Arial"/>
      <w:color w:val="000000"/>
      <w:sz w:val="21"/>
      <w:b w:val="1"/>
    </w:rPr>
  </w:style>
</w:styles>
</file>

<file path=word/_rels/document.xml.rel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themetheme1xml" Type="http://schemas.openxmlformats.org/officeDocument/2006/relationships/theme" Target="theme/theme1.xml"/><Relationship Id="rIdfontTablexml" Type="http://schemas.openxmlformats.org/officeDocument/2006/relationships/fontTable" Target="fontTable.xml"/><Relationship Id="rIdnumberingxml"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OOXML</Application>
</Properties>
</file>

<file path=docProps/core.xml><?xml version="1.0" encoding="utf-8"?>
<cp:coreProperties xmlns:cp="http://schemas.openxmlformats.org/package/2006/metadata/core-properties" xmlns:dc="http://purl.org/dc/elements/1.1/">
  <dc:title>Ejemplar del software y manual técnico resumido</dc:title>
  <dc:creator/>
  <dc:subject>Paquete técnico para revisión humana</dc:subject>
  <dc:description>Snapshot técnico b8892af39a6492d8dd44a36290604efc602380cd. Versión del registro pendiente.</dc:description>
</cp:coreProperties>
</file>