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Plantilla general de registro — contenido técnico integrado</w:t>
      </w:r>
    </w:p>
    <w:p>
      <w:pPr>
        <w:pStyle w:val="Pending"/>
      </w:pPr>
      <w:r>
        <w:t xml:space="preserve">BORRADOR TÉCNICO — LISTO PARA REVISIÓN</w:t>
      </w:r>
    </w:p>
    <w:p>
      <w:pPr>
        <w:pStyle w:val="Meta"/>
      </w:pPr>
      <w:r>
        <w:t xml:space="preserve">Título provisional — pendiente de confirmación humana</w:t>
      </w:r>
    </w:p>
    <w:p>
      <w:pPr>
        <w:pStyle w:val="Subtitle"/>
      </w:pPr>
      <w:r>
        <w:t xml:space="preserve">Plataforma SaaS Multiempresa para la Gestión del Reclutamiento, Evaluación y Selección de Personal</w:t>
      </w:r>
    </w:p>
    <w:p>
      <w:pPr>
        <w:pStyle w:val="Meta"/>
      </w:pPr>
      <w:r>
        <w:t xml:space="preserve">Título jurídico definitivo: [PENDIENTE DE CONFIRMACIÓN HUMANA]</w:t>
      </w:r>
    </w:p>
    <w:p>
      <w:pPr>
        <w:pStyle w:val="Meta"/>
      </w:pPr>
      <w:r>
        <w:t xml:space="preserve">Versión del registro: [PENDIENTE DE CONFIRMACIÓN HUMANA]</w:t>
      </w:r>
    </w:p>
    <w:p>
      <w:pPr>
        <w:pStyle w:val="Meta"/>
      </w:pPr>
      <w:r>
        <w:t xml:space="preserve">Snapshot técnico auditado: b8892af39a6492d8dd44a36290604efc602380cd</w:t>
      </w:r>
    </w:p>
    <w:p>
      <w:pPr>
        <w:pStyle w:val="Normal"/>
      </w:pPr>
      <w:r>
        <w:t xml:space="preserve">Documento para revisión humana, adaptado a la estructura de la plantilla general y a la guía de referencia. Los campos administrativos no confirmados permanecen pendientes. Este archivo no equivale a una solicitud presentada ni a una declaración firmada.</w:t>
      </w:r>
    </w:p>
    <w:p>
      <w:pPr>
        <w:pStyle w:val="Heading1"/>
      </w:pPr>
      <w:r>
        <w:t xml:space="preserve">Anexo 1 — Identificación y ejemplar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900"/>
        <w:gridCol w:w="6700"/>
      </w:tblGrid>
      <w:tr>
        <w:trPr>
          <w:cantSplit/>
          <w:tblHeader/>
        </w:trPr>
        <w:tc>
          <w:tcPr>
            <w:tcW w:w="2900" w:type="dxa"/>
            <w:vAlign w:val="center"/>
            <w:shd w:fill="E7EDF3"/>
          </w:tcPr>
          <w:p>
            <w:pPr>
              <w:pStyle w:val="CellHead"/>
            </w:pPr>
            <w:r>
              <w:t xml:space="preserve">Campo de la plantilla</w:t>
            </w:r>
          </w:p>
        </w:tc>
        <w:tc>
          <w:tcPr>
            <w:tcW w:w="6700" w:type="dxa"/>
            <w:vAlign w:val="center"/>
            <w:shd w:fill="E7EDF3"/>
          </w:tcPr>
          <w:p>
            <w:pPr>
              <w:pStyle w:val="CellHead"/>
            </w:pPr>
            <w:r>
              <w:t xml:space="preserve">Contenido del proyecto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FFFFF"/>
          </w:tcPr>
          <w:p>
            <w:pPr>
              <w:pStyle w:val="Cell"/>
            </w:pPr>
            <w:r>
              <w:t xml:space="preserve">Título definitivo</w:t>
            </w:r>
          </w:p>
        </w:tc>
        <w:tc>
          <w:tcPr>
            <w:tcW w:w="67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6F8FA"/>
          </w:tcPr>
          <w:p>
            <w:pPr>
              <w:pStyle w:val="Cell"/>
            </w:pPr>
            <w:r>
              <w:t xml:space="preserve">Denominación técnica provisional</w:t>
            </w:r>
          </w:p>
        </w:tc>
        <w:tc>
          <w:tcPr>
            <w:tcW w:w="6700" w:type="dxa"/>
            <w:vAlign w:val="center"/>
            <w:shd w:fill="F6F8FA"/>
          </w:tcPr>
          <w:p>
            <w:pPr>
              <w:pStyle w:val="Cell"/>
            </w:pPr>
            <w:r>
              <w:t xml:space="preserve">Plataforma SaaS Multiempresa para la Gestión del Reclutamiento, Evaluación y Selección de Personal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FFFFF"/>
          </w:tcPr>
          <w:p>
            <w:pPr>
              <w:pStyle w:val="Cell"/>
            </w:pPr>
            <w:r>
              <w:t xml:space="preserve">Tipo de software</w:t>
            </w:r>
          </w:p>
        </w:tc>
        <w:tc>
          <w:tcPr>
            <w:tcW w:w="6700" w:type="dxa"/>
            <w:vAlign w:val="center"/>
            <w:shd w:fill="FFFFFF"/>
          </w:tcPr>
          <w:p>
            <w:pPr>
              <w:pStyle w:val="Cell"/>
            </w:pPr>
            <w:r>
              <w:t xml:space="preserve">Aplicación web / plataforma SaaS multiempresa para gestión del reclutamiento.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6F8FA"/>
          </w:tcPr>
          <w:p>
            <w:pPr>
              <w:pStyle w:val="Cell"/>
            </w:pPr>
            <w:r>
              <w:t xml:space="preserve">Lenguajes</w:t>
            </w:r>
          </w:p>
        </w:tc>
        <w:tc>
          <w:tcPr>
            <w:tcW w:w="6700" w:type="dxa"/>
            <w:vAlign w:val="center"/>
            <w:shd w:fill="F6F8FA"/>
          </w:tcPr>
          <w:p>
            <w:pPr>
              <w:pStyle w:val="Cell"/>
            </w:pPr>
            <w:r>
              <w:t xml:space="preserve">PHP; TypeScript/JavaScript; SQL. Python únicamente para el componente ML opcional y experimental.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FFFFF"/>
          </w:tcPr>
          <w:p>
            <w:pPr>
              <w:pStyle w:val="Cell"/>
            </w:pPr>
            <w:r>
              <w:t xml:space="preserve">Entorno / frameworks</w:t>
            </w:r>
          </w:p>
        </w:tc>
        <w:tc>
          <w:tcPr>
            <w:tcW w:w="6700" w:type="dxa"/>
            <w:vAlign w:val="center"/>
            <w:shd w:fill="FFFFFF"/>
          </w:tcPr>
          <w:p>
            <w:pPr>
              <w:pStyle w:val="Cell"/>
            </w:pPr>
            <w:r>
              <w:t xml:space="preserve">Laravel; React; Inertia; Eloquent; Fortify; Vite; PostgreSQL; Redis; Docker Compose (desarrollo).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6F8FA"/>
          </w:tcPr>
          <w:p>
            <w:pPr>
              <w:pStyle w:val="Cell"/>
            </w:pPr>
            <w:r>
              <w:t xml:space="preserve">Versión del registro</w:t>
            </w:r>
          </w:p>
        </w:tc>
        <w:tc>
          <w:tcPr>
            <w:tcW w:w="67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FFFFF"/>
          </w:tcPr>
          <w:p>
            <w:pPr>
              <w:pStyle w:val="Cell"/>
            </w:pPr>
            <w:r>
              <w:t xml:space="preserve">Autores legales</w:t>
            </w:r>
          </w:p>
        </w:tc>
        <w:tc>
          <w:tcPr>
            <w:tcW w:w="67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HUMANA]; ver documentos 03A–03C y 04.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6F8FA"/>
          </w:tcPr>
          <w:p>
            <w:pPr>
              <w:pStyle w:val="Cell"/>
            </w:pPr>
            <w:r>
              <w:t xml:space="preserve">Titular patrimonial / modalidad de titular</w:t>
            </w:r>
          </w:p>
        </w:tc>
        <w:tc>
          <w:tcPr>
            <w:tcW w:w="67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FFFFF"/>
          </w:tcPr>
          <w:p>
            <w:pPr>
              <w:pStyle w:val="Cell"/>
            </w:pPr>
            <w:r>
              <w:t xml:space="preserve">Año / fechas oficiales de creación y publicación</w:t>
            </w:r>
          </w:p>
        </w:tc>
        <w:tc>
          <w:tcPr>
            <w:tcW w:w="67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6F8FA"/>
          </w:tcPr>
          <w:p>
            <w:pPr>
              <w:pStyle w:val="Cell"/>
            </w:pPr>
            <w:r>
              <w:t xml:space="preserve">Datos administrativos, identificaciones y firmas</w:t>
            </w:r>
          </w:p>
        </w:tc>
        <w:tc>
          <w:tcPr>
            <w:tcW w:w="67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Heading1"/>
      </w:pPr>
      <w:r>
        <w:t xml:space="preserve">Ejemplar de código fuente</w:t>
      </w:r>
    </w:p>
    <w:p>
      <w:pPr>
        <w:pStyle w:val="Normal"/>
      </w:pPr>
      <w:r>
        <w:t xml:space="preserve">El ejemplar se incorpora por referencia como 02A_Codigo_Fuente_Representativo.docx. Contiene fragmentos propios seleccionados del snapshot auditado, con ruta, rango, lenguaje y explicación técnica. La paginación real, número de líneas y procedencia figuran en el índice maestro. No se duplican aquí las páginas de código.</w:t>
      </w:r>
    </w:p>
    <w:p>
      <w:pPr>
        <w:pStyle w:val="Normal"/>
      </w:pPr>
      <w:r>
        <w:t xml:space="preserve">La selección comprende aislamiento multiempresa, autorización, workflow, postulación, ranking, decisión humana, registro de selección, cierre, auditoría, interfaz y pruebas. Excluye dependencias, código generado, configuración privada y datos de postulantes. La inclusión técnica no certifica derechos patrimoniales ni licencias de terceros.</w:t>
      </w:r>
    </w:p>
    <w:p>
      <w:pPr>
        <w:pStyle w:val="Heading1"/>
      </w:pPr>
      <w:r>
        <w:t xml:space="preserve">Anexo 2 — Descripción técnica</w:t>
      </w:r>
    </w:p>
    <w:p>
      <w:pPr>
        <w:pStyle w:val="Heading1"/>
      </w:pPr>
      <w:r>
        <w:t xml:space="preserve">Objeto y estructura</w:t>
      </w:r>
    </w:p>
    <w:p>
      <w:pPr>
        <w:pStyle w:val="Normal"/>
      </w:pPr>
      <w:r>
        <w:t xml:space="preserve">La plataforma administra requerimientos internos, vacantes y postulaciones, con evaluaciones e entrevistas humanas y una comparación determinista de resultados. El flujo concluye con decisión humana, selección y cierre. Laravel concentra el registro de negocio y entrega páginas React a través de Inertia. PostgreSQL conserva entidades y relaciones; Redis apoya sesiones, caché y notificaciones encoladas.</w:t>
      </w:r>
    </w:p>
    <w:p>
      <w:pPr>
        <w:pStyle w:val="Heading1"/>
      </w:pPr>
      <w:r>
        <w:t xml:space="preserve">Características funcionales</w:t>
      </w:r>
    </w:p>
    <w:p>
      <w:pPr>
        <w:pStyle w:val="Normal"/>
      </w:pPr>
      <w:r>
        <w:t xml:space="preserve">Intervienen Solicitante, RR. HH., Aprobador/Dirección, Evaluador y Postulante. El requerimiento sigue revisión, aprobación y publicación. La postulación se vincula a un perfil global y a una vacante de una organización. Las evaluaciones e entrevistas asignadas alimentan un ranking ponderado. La persona autorizada debe justificar y confirmar la decisión; RR. HH. registra la selección y cierra la convocatoria.</w:t>
      </w:r>
    </w:p>
    <w:p>
      <w:pPr>
        <w:pStyle w:val="Heading1"/>
      </w:pPr>
      <w:r>
        <w:t xml:space="preserve">Características técnicas y aporte observable</w:t>
      </w:r>
    </w:p>
    <w:p>
      <w:pPr>
        <w:pStyle w:val="Normal"/>
      </w:pPr>
      <w:r>
        <w:t xml:space="preserve">El aislamiento lógico integra organization_id, scopes, Policies y filtros explícitos. Los servicios de dominio coordinan transacciones, etapas y auditoría. La descarga de CV privado requiere autorización. Las reglas de comparación y el registro de decisión humana son elementos técnicos describibles del aporte; su originalidad jurídica, autoría y titularidad requieren validación humana.</w:t>
      </w:r>
    </w:p>
    <w:p>
      <w:pPr>
        <w:pStyle w:val="Heading1"/>
      </w:pPr>
      <w:r>
        <w:t xml:space="preserve">Entorno y componentes complementarios</w:t>
      </w:r>
    </w:p>
    <w:p>
      <w:pPr>
        <w:pStyle w:val="Normal"/>
      </w:pPr>
      <w:r>
        <w:t xml:space="preserve">La configuración Docker corresponde a desarrollo local; no acredita un despliegue cloud o productivo. RF-29 es opcional y experimental: estima riesgo operacional de demora del proceso y no evalúa, clasifica ni selecciona personas. El sandbox F35-SBX es académico, sintético y no productivo. Permanece separado de la aplicación.</w:t>
      </w:r>
    </w:p>
    <w:p>
      <w:pPr>
        <w:pStyle w:val="Heading1"/>
      </w:pPr>
      <w:r>
        <w:t xml:space="preserve">Anexos y evidencias del expediente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700"/>
        <w:gridCol w:w="6900"/>
      </w:tblGrid>
      <w:tr>
        <w:trPr>
          <w:cantSplit/>
          <w:tblHeader/>
        </w:trPr>
        <w:tc>
          <w:tcPr>
            <w:tcW w:w="2700" w:type="dxa"/>
            <w:vAlign w:val="center"/>
            <w:shd w:fill="E7EDF3"/>
          </w:tcPr>
          <w:p>
            <w:pPr>
              <w:pStyle w:val="CellHead"/>
            </w:pPr>
            <w:r>
              <w:t xml:space="preserve">Elemento</w:t>
            </w:r>
          </w:p>
        </w:tc>
        <w:tc>
          <w:tcPr>
            <w:tcW w:w="6900" w:type="dxa"/>
            <w:vAlign w:val="center"/>
            <w:shd w:fill="E7EDF3"/>
          </w:tcPr>
          <w:p>
            <w:pPr>
              <w:pStyle w:val="CellHead"/>
            </w:pPr>
            <w:r>
              <w:t xml:space="preserve">Referencia / situación</w:t>
            </w:r>
          </w:p>
        </w:tc>
      </w:tr>
      <w:tr>
        <w:trPr>
          <w:cantSplit/>
        </w:trPr>
        <w:tc>
          <w:tcPr>
            <w:tcW w:w="2700" w:type="dxa"/>
            <w:vAlign w:val="center"/>
            <w:shd w:fill="FFFFFF"/>
          </w:tcPr>
          <w:p>
            <w:pPr>
              <w:pStyle w:val="Cell"/>
            </w:pPr>
            <w:r>
              <w:t xml:space="preserve">Identificación y uso</w:t>
            </w:r>
          </w:p>
        </w:tc>
        <w:tc>
          <w:tcPr>
            <w:tcW w:w="6900" w:type="dxa"/>
            <w:vAlign w:val="center"/>
            <w:shd w:fill="FFFFFF"/>
          </w:tcPr>
          <w:p>
            <w:pPr>
              <w:pStyle w:val="Cell"/>
            </w:pPr>
            <w:r>
              <w:t xml:space="preserve">01 Ficha técnica; 02 Ejemplar y manual; 07 Descripción técnica.</w:t>
            </w:r>
          </w:p>
        </w:tc>
      </w:tr>
      <w:tr>
        <w:trPr>
          <w:cantSplit/>
        </w:trPr>
        <w:tc>
          <w:tcPr>
            <w:tcW w:w="2700" w:type="dxa"/>
            <w:vAlign w:val="center"/>
            <w:shd w:fill="F6F8FA"/>
          </w:tcPr>
          <w:p>
            <w:pPr>
              <w:pStyle w:val="Cell"/>
            </w:pPr>
            <w:r>
              <w:t xml:space="preserve">Ejemplar de código</w:t>
            </w:r>
          </w:p>
        </w:tc>
        <w:tc>
          <w:tcPr>
            <w:tcW w:w="6900" w:type="dxa"/>
            <w:vAlign w:val="center"/>
            <w:shd w:fill="F6F8FA"/>
          </w:tcPr>
          <w:p>
            <w:pPr>
              <w:pStyle w:val="Cell"/>
            </w:pPr>
            <w:r>
              <w:t xml:space="preserve">02A_Codigo_Fuente_Representativo.docx; rangos y paginación en el índice.</w:t>
            </w:r>
          </w:p>
        </w:tc>
      </w:tr>
      <w:tr>
        <w:trPr>
          <w:cantSplit/>
        </w:trPr>
        <w:tc>
          <w:tcPr>
            <w:tcW w:w="2700" w:type="dxa"/>
            <w:vAlign w:val="center"/>
            <w:shd w:fill="FFFFFF"/>
          </w:tcPr>
          <w:p>
            <w:pPr>
              <w:pStyle w:val="Cell"/>
            </w:pPr>
            <w:r>
              <w:t xml:space="preserve">Autoría y titularidad</w:t>
            </w:r>
          </w:p>
        </w:tc>
        <w:tc>
          <w:tcPr>
            <w:tcW w:w="6900" w:type="dxa"/>
            <w:vAlign w:val="center"/>
            <w:shd w:fill="FFFFFF"/>
          </w:tcPr>
          <w:p>
            <w:pPr>
              <w:pStyle w:val="Cell"/>
            </w:pPr>
            <w:r>
              <w:t xml:space="preserve">03A–03C y 04 pendientes de datos y firmas; 05 condicional a persona jurídica.</w:t>
            </w:r>
          </w:p>
        </w:tc>
      </w:tr>
      <w:tr>
        <w:trPr>
          <w:cantSplit/>
        </w:trPr>
        <w:tc>
          <w:tcPr>
            <w:tcW w:w="2700" w:type="dxa"/>
            <w:vAlign w:val="center"/>
            <w:shd w:fill="F6F8FA"/>
          </w:tcPr>
          <w:p>
            <w:pPr>
              <w:pStyle w:val="Cell"/>
            </w:pPr>
            <w:r>
              <w:t xml:space="preserve">Evidencia técnica y cierre</w:t>
            </w:r>
          </w:p>
        </w:tc>
        <w:tc>
          <w:tcPr>
            <w:tcW w:w="6900" w:type="dxa"/>
            <w:vAlign w:val="center"/>
            <w:shd w:fill="F6F8FA"/>
          </w:tcPr>
          <w:p>
            <w:pPr>
              <w:pStyle w:val="Cell"/>
            </w:pPr>
            <w:r>
              <w:t xml:space="preserve">06 Anexos técnicos; diagramas AS-IS y QA histórico. Capturas, licencias, asistencia IA y requisitos vigentes: pendientes.</w:t>
            </w:r>
          </w:p>
        </w:tc>
      </w:tr>
    </w:tbl>
    <w:p>
      <w:pPr>
        <w:pStyle w:val="Meta"/>
      </w:pPr>
      <w:r>
        <w:t xml:space="preserve"/>
      </w:r>
    </w:p>
    <w:p>
      <w:pPr>
        <w:pStyle w:val="Normal"/>
      </w:pPr>
      <w:r>
        <w:t xml:space="preserve">Resultados históricos documentados; no fueron ejecutados nuevamente durante la generación documental. Ningún anexo constituye certificación de seguridad, aprobación registral o autorización para utilizar datos reales.</w:t>
      </w:r>
    </w:p>
    <w:p>
      <w:pPr>
        <w:pStyle w:val="Normal"/>
      </w:pPr>
      <w:r>
        <w:t xml:space="preserve">Fuente técnica principal: REPORTE_AUDITORIA_DOCUMENTAL.md. Fuentes estructurales: Plantilla_Registro_General_Software.docx y Registro_Software_INDECOPI.docx. Los ejemplos de las plantillas no se trasladan como hechos del proyecto.</w:t>
      </w:r>
    </w:p>
    <w:sectPr>
      <w:footerReference w:type="default" r:id="rIdFooter"/>
      <w:pgSz w:w="11906" w:h="16838"/>
      <w:pgMar w:top="1134" w:right="1134" w:bottom="1134" w:left="1134" w:header="500" w:footer="50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Meta"/>
      <w:jc w:val="center"/>
    </w:pPr>
    <w:r>
      <w:t xml:space="preserve">Documento para revisión humana</w:t>
    </w:r>
  </w:p>
  <w:p>
    <w:pPr>
      <w:jc w:val="center"/>
    </w:pPr>
    <w:r>
      <w:t xml:space="preserve">Página </w:t>
    </w:r>
    <w:fldSimple w:instr="PAGE">
      <w:r>
        <w:t xml:space="preserve"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zoom w:percent="100"/>
  <w:defaultTabStop w:val="3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b w:val="0"/>
        <w:lang w:val="es-PE"/>
      </w:rPr>
    </w:rPrDefault>
    <w:pPrDefault>
      <w:pPr>
        <w:spacing w:after="100" w:line="264" w:lineRule="auto"/>
        <w:widowControl/>
      </w:pPr>
    </w:pPrDefault>
  </w:docDefaults>
  <w:style w:type="paragraph" w:default="1" w:styleId="Normal">
    <w:name w:val="Normal"/>
    <w:rPr>
      <w:rFonts w:ascii="Arial" w:hAnsi="Arial"/>
      <w:sz w:val="22"/>
      <w:b w:val="0"/>
    </w:rPr>
  </w:style>
  <w:style w:type="paragraph" w:styleId="Title">
    <w:name w:val="Title"/>
    <w:basedOn w:val="Normal"/>
    <w:pPr>
      <w:spacing w:before="0" w:after="160"/>
      <w:keepNext/>
    </w:pPr>
    <w:rPr>
      <w:rFonts w:ascii="Arial" w:hAnsi="Arial" w:eastAsia="Arial"/>
      <w:color w:val="000000"/>
      <w:sz w:val="38"/>
      <w:b w:val="1"/>
    </w:rPr>
  </w:style>
  <w:style w:type="paragraph" w:styleId="Subtitle">
    <w:name w:val="Subtitle"/>
    <w:basedOn w:val="Normal"/>
    <w:pPr>
      <w:spacing w:after="130"/>
      <w:keepNext/>
    </w:pPr>
    <w:rPr>
      <w:rFonts w:ascii="Arial" w:hAnsi="Arial" w:eastAsia="Arial"/>
      <w:color w:val="000000"/>
      <w:sz w:val="25"/>
      <w:b w:val="1"/>
    </w:rPr>
  </w:style>
  <w:style w:type="paragraph" w:styleId="Heading1">
    <w:name w:val="heading 1"/>
    <w:basedOn w:val="Normal"/>
    <w:pPr>
      <w:spacing w:before="200" w:after="100"/>
      <w:keepNext/>
      <w:keepLines/>
      <w:outlineLvl w:val="0"/>
    </w:pPr>
    <w:rPr>
      <w:rFonts w:ascii="Arial" w:hAnsi="Arial" w:eastAsia="Arial"/>
      <w:color w:val="000000"/>
      <w:sz w:val="28"/>
      <w:b w:val="1"/>
    </w:rPr>
  </w:style>
  <w:style w:type="paragraph" w:styleId="Heading2">
    <w:name w:val="heading 2"/>
    <w:basedOn w:val="Normal"/>
    <w:pPr>
      <w:spacing w:before="140" w:after="80"/>
      <w:keepNext/>
      <w:keepLines/>
      <w:outlineLvl w:val="1"/>
    </w:pPr>
    <w:rPr>
      <w:rFonts w:ascii="Arial" w:hAnsi="Arial" w:eastAsia="Arial"/>
      <w:color w:val="000000"/>
      <w:sz w:val="24"/>
      <w:b w:val="1"/>
    </w:rPr>
  </w:style>
  <w:style w:type="paragraph" w:styleId="Meta">
    <w:name w:val="Metadata"/>
    <w:basedOn w:val="Normal"/>
    <w:pPr>
      <w:spacing w:after="60" w:line="228"/>
      <w:keepLines/>
    </w:pPr>
    <w:rPr>
      <w:rFonts w:ascii="Arial" w:hAnsi="Arial" w:eastAsia="Arial"/>
      <w:color w:val="000000"/>
      <w:sz w:val="19"/>
      <w:b w:val="0"/>
    </w:rPr>
  </w:style>
  <w:style w:type="paragraph" w:styleId="Cell">
    <w:name w:val="Table text"/>
    <w:basedOn w:val="Normal"/>
    <w:pPr>
      <w:spacing w:after="50" w:line="240"/>
      <w:widowControl/>
    </w:pPr>
    <w:rPr>
      <w:rFonts w:ascii="Arial" w:hAnsi="Arial" w:eastAsia="Arial"/>
      <w:color w:val="000000"/>
      <w:sz w:val="20"/>
      <w:b w:val="0"/>
    </w:rPr>
  </w:style>
  <w:style w:type="paragraph" w:styleId="CellHead">
    <w:name w:val="Table header"/>
    <w:basedOn w:val="Normal"/>
    <w:pPr>
      <w:spacing w:after="40"/>
      <w:keepNext/>
    </w:pPr>
    <w:rPr>
      <w:rFonts w:ascii="Arial" w:hAnsi="Arial" w:eastAsia="Arial"/>
      <w:color w:val="000000"/>
      <w:sz w:val="20"/>
      <w:b w:val="1"/>
    </w:rPr>
  </w:style>
  <w:style w:type="paragraph" w:styleId="Caption">
    <w:name w:val="Caption"/>
    <w:basedOn w:val="Normal"/>
    <w:pPr>
      <w:spacing w:before="60" w:after="120"/>
      <w:keepLines/>
    </w:pPr>
    <w:rPr>
      <w:rFonts w:ascii="Arial" w:hAnsi="Arial" w:eastAsia="Arial"/>
      <w:color w:val="000000"/>
      <w:sz w:val="19"/>
      <w:b w:val="0"/>
    </w:rPr>
  </w:style>
  <w:style w:type="paragraph" w:styleId="Code">
    <w:name w:val="Code"/>
    <w:basedOn w:val="Normal"/>
    <w:pPr>
      <w:spacing w:before="0" w:after="0" w:line="208" w:lineRule="exact"/>
      <w:widowControl w:val="0"/>
      <w:tabs>
        <w:tab w:val="left" w:pos="320"/>
      </w:tabs>
    </w:pPr>
    <w:rPr>
      <w:rFonts w:ascii="Consolas" w:hAnsi="Consolas" w:eastAsia="Consolas"/>
      <w:color w:val="000000"/>
      <w:sz w:val="18"/>
      <w:b w:val="0"/>
    </w:rPr>
  </w:style>
  <w:style w:type="paragraph" w:styleId="Pending">
    <w:name w:val="Pending"/>
    <w:basedOn w:val="Normal"/>
    <w:pPr>
      <w:spacing w:after="110"/>
      <w:keepLines/>
    </w:pPr>
    <w:rPr>
      <w:rFonts w:ascii="Arial" w:hAnsi="Arial" w:eastAsia="Arial"/>
      <w:color w:val="000000"/>
      <w:sz w:val="21"/>
      <w:b w:val="1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themetheme1xml" Type="http://schemas.openxmlformats.org/officeDocument/2006/relationships/theme" Target="theme/theme1.xml"/><Relationship Id="rIdfontTablexml" Type="http://schemas.openxmlformats.org/officeDocument/2006/relationships/fontTable" Target="fontTable.xml"/><Relationship Id="rIdnumberingxml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OOXML</Application>
</Properties>
</file>

<file path=docProps/core.xml><?xml version="1.0" encoding="utf-8"?>
<cp:coreProperties xmlns:cp="http://schemas.openxmlformats.org/package/2006/metadata/core-properties" xmlns:dc="http://purl.org/dc/elements/1.1/">
  <dc:title>Plantilla general de registro — contenido técnico integrado</dc:title>
  <dc:creator/>
  <dc:subject>Paquete técnico para revisión humana</dc:subject>
  <dc:description>Snapshot técnico b8892af39a6492d8dd44a36290604efc602380cd. Versión del registro pendiente.</dc:description>
</cp:coreProperties>
</file>