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7D0E5F8D" w:rsidR="007A4B26" w:rsidRDefault="007A4B26" w:rsidP="007A4B26">
      <w:pPr>
        <w:pStyle w:val="Ttulo1"/>
        <w:spacing w:line="240" w:lineRule="auto"/>
      </w:pPr>
      <w:r>
        <w:t>Formato 0</w:t>
      </w:r>
      <w:r w:rsidR="00547B73">
        <w:t>7</w:t>
      </w:r>
      <w:r>
        <w:t>:</w:t>
      </w:r>
    </w:p>
    <w:p w14:paraId="1ED54D48" w14:textId="4C64680C" w:rsidR="00C95537" w:rsidRDefault="007438E4" w:rsidP="007A4B26">
      <w:pPr>
        <w:pStyle w:val="Ttulo1"/>
        <w:spacing w:before="0" w:after="240"/>
      </w:pPr>
      <w:r>
        <w:t xml:space="preserve">Requerimientos </w:t>
      </w:r>
      <w:r w:rsidR="00547B73">
        <w:t xml:space="preserve">No </w:t>
      </w:r>
      <w:r>
        <w:t>Funcionales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Análisis y Diseño de una Plataforma SaaS Multiempresa para la Gestión del Reclutamiento, Evaluación y Selección de Personal – Caso de estudio: Colegio Andino de Huancayo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Coronacion Meza Fredy; Peña Arroyo Anthony; Vila Meza Luis Antonio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3980F50A" w:rsidR="00F6625E" w:rsidRDefault="00547B73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Módulo / Sistema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Plataforma SaaS multiempresa de reclutamiento, evaluación y selección (línea base RF-01 a RF-27)</w:t>
            </w:r>
          </w:p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Dr. Maglioni Arana Caparachin</w:t>
            </w:r>
          </w:p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364AEA07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26/09/2026</w:t>
            </w:r>
          </w:p>
        </w:tc>
      </w:tr>
    </w:tbl>
    <w:p>
      <w:pPr>
        <w:spacing w:after="0"/>
        <w:ind w:left="284"/>
      </w:pP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  <w:shd w:val="clear" w:color="auto" w:fill="FFF2CC"/>
          </w:tcPr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de la información de este formato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HECHO VERIFICADO:</w:t>
            </w:r>
            <w:r>
              <w:rPr>
                <w:sz w:val="18"/>
                <w:szCs w:val="18"/>
              </w:rPr>
              <w:t xml:space="preserve"> comprobado en el repositorio (código, pruebas ejecutadas, documentos versionados).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AS-IS PRELIMINAR:</w:t>
            </w:r>
            <w:r>
              <w:rPr>
                <w:sz w:val="18"/>
                <w:szCs w:val="18"/>
              </w:rPr>
              <w:t xml:space="preserve"> reconstrucción del proceso actual hecha por el equipo; </w:t>
            </w:r>
            <w:r>
              <w:rPr>
                <w:b/>
                <w:bCs/>
                <w:sz w:val="18"/>
                <w:szCs w:val="18"/>
              </w:rPr>
              <w:t xml:space="preserve">sujeta a validación institucional</w:t>
            </w:r>
            <w:r>
              <w:rPr>
                <w:sz w:val="18"/>
                <w:szCs w:val="18"/>
              </w:rPr>
              <w:t xml:space="preserve"> (RR. HH. / Administración del Colegio). No es un procedimiento validado por la institución.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TO-BE PROPUESTO:</w:t>
            </w:r>
            <w:r>
              <w:rPr>
                <w:sz w:val="18"/>
                <w:szCs w:val="18"/>
              </w:rPr>
              <w:t xml:space="preserve"> proceso mejorado diseñado por el equipo; su adopción en la institución no está validada.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SOFTWARE IMPLEMENTADO:</w:t>
            </w:r>
            <w:r>
              <w:rPr>
                <w:sz w:val="18"/>
                <w:szCs w:val="18"/>
              </w:rPr>
              <w:t xml:space="preserve"> comportamiento de la plataforma v1.1 (etiqueta v1.1.0-academic), verificado con pruebas.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EXPERIMENTAL / PROPUESTO:</w:t>
            </w:r>
            <w:r>
              <w:rPr>
                <w:sz w:val="18"/>
                <w:szCs w:val="18"/>
              </w:rPr>
              <w:t xml:space="preserve"> RF-28 (candidato, no implementado), RF-29 (experimental, solo sobre el proceso) y RNF-C (propuesta). No forman parte de la línea base RF-01 a RF-27.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prioridad es una </w:t>
            </w:r>
            <w:r>
              <w:rPr>
                <w:b/>
                <w:bCs/>
                <w:sz w:val="18"/>
                <w:szCs w:val="18"/>
              </w:rPr>
              <w:t xml:space="preserve">priorización analítica del equipo</w:t>
            </w:r>
            <w:r>
              <w:rPr>
                <w:sz w:val="18"/>
                <w:szCs w:val="18"/>
              </w:rPr>
              <w:t xml:space="preserve">. Cada RNF declara su </w:t>
            </w:r>
            <w:r>
              <w:rPr>
                <w:b/>
                <w:bCs/>
                <w:sz w:val="18"/>
                <w:szCs w:val="18"/>
              </w:rPr>
              <w:t xml:space="preserve">estado real de validación</w:t>
            </w:r>
            <w:r>
              <w:rPr>
                <w:sz w:val="18"/>
                <w:szCs w:val="18"/>
              </w:rPr>
              <w:t xml:space="preserve">: verificado, evidencia parcial, no verificado o propuesto. Las pruebas exploratorias no se presentan como SLA, y RNF-C no se presenta como requisito implementado.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plataforma </w:t>
            </w:r>
            <w:r>
              <w:rPr>
                <w:b/>
                <w:bCs/>
                <w:sz w:val="18"/>
                <w:szCs w:val="18"/>
              </w:rPr>
              <w:t xml:space="preserve">nunca</w:t>
            </w:r>
            <w:r>
              <w:rPr>
                <w:sz w:val="18"/>
                <w:szCs w:val="18"/>
              </w:rPr>
              <w:t xml:space="preserve"> selecciona, descarta ni contrata automáticamente: el ranking calcula, ordena y compara.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decisión final de selección es </w:t>
            </w:r>
            <w:r>
              <w:rPr>
                <w:b/>
                <w:bCs/>
                <w:sz w:val="18"/>
                <w:szCs w:val="18"/>
              </w:rPr>
              <w:t xml:space="preserve">humana</w:t>
            </w:r>
            <w:r>
              <w:rPr>
                <w:sz w:val="18"/>
                <w:szCs w:val="18"/>
              </w:rPr>
              <w:t xml:space="preserve">: la registra el Aprobador / Dirección con confirmación explícita y justificación (RF-23).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Todos los datos de ejemplo son ficticios. No se usan datos personales reales.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general del sistema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Describir brevemente el sistema a desarrollar.</w:t>
      </w:r>
    </w:p>
    <w:p>
      <w:pPr>
        <w:keepNext/>
        <w:spacing w:after="60"/>
        <w:ind w:left="284"/>
      </w:pPr>
      <w:r>
        <w:rPr>
          <w:b/>
          <w:bCs/>
        </w:rPr>
        <w:t xml:space="preserve">Objetivo del sistema.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Gestionar de forma centralizada, trazable y multiempresa el ciclo de reclutamiento, evaluación y selección de personal: desde el requerimiento hasta el cierre de la convocatoria. Los datos de cada organización quedan aislados y la decisión final de selección se reserva a una persona autorizada (Aprobador / Dirección).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Funcionalidades principales.</w:t>
      </w:r>
    </w:p>
    <w:p>
      <w:pPr>
        <w:spacing w:after="40"/>
        <w:ind w:left="567"/>
      </w:pPr>
      <w:r>
        <w:t xml:space="preserve">• Requerimientos de personal con validación y aprobación (RF-01 a RF-04).</w:t>
      </w:r>
    </w:p>
    <w:p>
      <w:pPr>
        <w:spacing w:after="40"/>
        <w:ind w:left="567"/>
      </w:pPr>
      <w:r>
        <w:t xml:space="preserve">• Vacantes con perfil, criterios ponderados, validación y publicación (RF-05 a RF-07).</w:t>
      </w:r>
    </w:p>
    <w:p>
      <w:pPr>
        <w:spacing w:after="40"/>
        <w:ind w:left="567"/>
      </w:pPr>
      <w:r>
        <w:t xml:space="preserve">• Cuenta, perfil, CV y postulación del postulante (RF-08 a RF-11).</w:t>
      </w:r>
    </w:p>
    <w:p>
      <w:pPr>
        <w:spacing w:after="40"/>
        <w:ind w:left="567"/>
      </w:pPr>
      <w:r>
        <w:t xml:space="preserve">• Revisión, etapas y notificaciones (RF-12 a RF-15).</w:t>
      </w:r>
    </w:p>
    <w:p>
      <w:pPr>
        <w:spacing w:after="40"/>
        <w:ind w:left="567"/>
      </w:pPr>
      <w:r>
        <w:t xml:space="preserve">• Evaluaciones y entrevistas con convocatoria y registro de resultados (RF-16 a RF-20).</w:t>
      </w:r>
    </w:p>
    <w:p>
      <w:pPr>
        <w:spacing w:after="40"/>
        <w:ind w:left="567"/>
      </w:pPr>
      <w:r>
        <w:t xml:space="preserve">• Ranking y comparación explicables, decisión humana, selección, cierre y resultado (RF-21 a RF-26).</w:t>
      </w:r>
    </w:p>
    <w:p>
      <w:pPr>
        <w:spacing w:after="40"/>
        <w:ind w:left="567"/>
      </w:pPr>
      <w:r>
        <w:t xml:space="preserve">• Auditoría de solo inserción (RF-27).</w:t>
      </w:r>
    </w:p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Relación con los requerimientos funcionales.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Los RNF son </w:t>
            </w:r>
            <w:r>
              <w:rPr>
                <w:b/>
                <w:bCs/>
              </w:rPr>
              <w:t xml:space="preserve">transversales</w:t>
            </w:r>
            <w:r>
              <w:t xml:space="preserve">: se aplican a los 27 RF del Formato 06 y no crean módulos propios. La matriz de trazabilidad F2–F9 indica los RNF más relevantes para cada RF.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Lista de requerimientos no funcionales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657"/>
        <w:gridCol w:w="1150"/>
        <w:gridCol w:w="1232"/>
        <w:gridCol w:w="1725"/>
        <w:gridCol w:w="2464"/>
        <w:gridCol w:w="985"/>
      </w:tblGrid>
      <w:tr>
        <w:trPr>
          <w:cantSplit/>
          <w:tblHeader/>
        </w:trPr>
        <w:tc>
          <w:tcPr>
            <w:tcW w:w="65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w="1150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Categoría</w:t>
            </w:r>
          </w:p>
        </w:tc>
        <w:tc>
          <w:tcPr>
            <w:tcW w:w="1232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Nombre del requerimiento</w:t>
            </w:r>
          </w:p>
        </w:tc>
        <w:tc>
          <w:tcPr>
            <w:tcW w:w="172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  <w:tc>
          <w:tcPr>
            <w:tcW w:w="246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Métrica / Criterio</w:t>
            </w:r>
          </w:p>
        </w:tc>
        <w:tc>
          <w:tcPr>
            <w:tcW w:w="98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RNF-01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Seguridad y control de acceso</w:t>
            </w:r>
          </w:p>
        </w:tc>
        <w:tc>
          <w:tcPr>
            <w:tcW w:w="172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El sistema debe autenticar a todo usuario y autorizar cada operación en el servidor según su rol y su organización.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Toda ruta del personal exige sesión y rol (middleware </w:t>
            </w:r>
            <w:r>
              <w:rPr>
                <w:rFonts w:ascii="Consolas" w:hAnsi="Consolas"/>
                <w:sz w:val="15"/>
                <w:szCs w:val="15"/>
              </w:rPr>
              <w:t xml:space="preserve">role</w:t>
            </w:r>
            <w:r>
              <w:rPr>
                <w:sz w:val="15"/>
                <w:szCs w:val="15"/>
              </w:rPr>
              <w:t xml:space="preserve"> y Policies). Contraseñas con hash bcrypt. Límite de 5 intentos de inicio de sesión por minuto. Las pruebas de autorización por rol pasan sin fallos.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RNF-02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Multitenencia y aislamiento</w:t>
            </w:r>
          </w:p>
        </w:tc>
        <w:tc>
          <w:tcPr>
            <w:tcW w:w="172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El sistema debe garantizar que ninguna organización acceda a los datos de otra.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Toda entidad de negocio lleva </w:t>
            </w:r>
            <w:r>
              <w:rPr>
                <w:rFonts w:ascii="Consolas" w:hAnsi="Consolas"/>
                <w:sz w:val="15"/>
                <w:szCs w:val="15"/>
              </w:rPr>
              <w:t xml:space="preserve">organization_id</w:t>
            </w:r>
            <w:r>
              <w:rPr>
                <w:sz w:val="15"/>
                <w:szCs w:val="15"/>
              </w:rPr>
              <w:t xml:space="preserve"> y un scope global. Las Policies comparan rol y organización. Las pruebas cross-tenant pasan sin fallos.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RNF-03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Seguridad (responsabilidad)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Trazabilidad y auditoría</w:t>
            </w:r>
          </w:p>
        </w:tc>
        <w:tc>
          <w:tcPr>
            <w:tcW w:w="172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El sistema debe registrar el usuario, la organización, la acción, la fecha y el objeto afectado de cada acción crítica, en un registro que no se pueda modificar.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Cada acción crítica deja un registro. La tabla </w:t>
            </w:r>
            <w:r>
              <w:rPr>
                <w:rFonts w:ascii="Consolas" w:hAnsi="Consolas"/>
                <w:sz w:val="15"/>
                <w:szCs w:val="15"/>
              </w:rPr>
              <w:t xml:space="preserve">audit_logs</w:t>
            </w:r>
            <w:r>
              <w:rPr>
                <w:sz w:val="15"/>
                <w:szCs w:val="15"/>
              </w:rPr>
              <w:t xml:space="preserve"> rechaza UPDATE y DELETE mediante un trigger. Los historiales de estado registran quién, cuándo y de qué estado a cuál.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RNF-04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Seguridad (confidencialidad)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Privacidad</w:t>
            </w:r>
          </w:p>
        </w:tc>
        <w:tc>
          <w:tcPr>
            <w:tcW w:w="172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El sistema debe minimizar los datos del postulante y restringir su acceso según el rol y el vínculo con la vacante.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No se almacenan DNI, fecha de nacimiento ni atributos sensibles no requeridos. El CV se guarda en disco privado con nombre UUID y solo lo descargan los usuarios autorizados por la Policy. Las notificaciones no incluyen datos de otros candidatos.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RNF-05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Usabilidad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Usabilidad</w:t>
            </w:r>
          </w:p>
        </w:tc>
        <w:tc>
          <w:tcPr>
            <w:tcW w:w="172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El sistema debe ofrecer formularios, mensajes y navegación comprensibles y consistentes.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Interfaz en español; errores por campo; estados vacíos; navegación por rol; diseño adaptable de 320 a 1440 px; contraste AA en modo claro y oscuro; foco visible y enlace de salto.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RNF-06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Eficiencia de desempeño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Rendimiento</w:t>
            </w:r>
          </w:p>
        </w:tc>
        <w:tc>
          <w:tcPr>
            <w:tcW w:w="172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El sistema debe permitir medir sus operaciones críticas contra una línea base documentada.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Criterio propuesto:</w:t>
            </w:r>
            <w:r>
              <w:rPr>
                <w:sz w:val="15"/>
                <w:szCs w:val="15"/>
              </w:rPr>
              <w:t xml:space="preserve"> fijar un entorno de referencia, medir una línea base de las operaciones críticas (listado de postulaciones, comparación, registro de decisión) y aprobar umbrales antes de cualquier aceptación productiva. </w:t>
            </w:r>
            <w:r>
              <w:rPr>
                <w:b/>
                <w:bCs/>
                <w:sz w:val="15"/>
                <w:szCs w:val="15"/>
              </w:rPr>
              <w:t xml:space="preserve">No hay umbral aprobado.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RNF-07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Fiabilidad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Disponibilidad y recuperabilidad</w:t>
            </w:r>
          </w:p>
        </w:tc>
        <w:tc>
          <w:tcPr>
            <w:tcW w:w="172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El sistema debe permitir detectar fallas y recuperarse de ellas sin corromper los datos.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Criterio propuesto:</w:t>
            </w:r>
            <w:r>
              <w:rPr>
                <w:sz w:val="15"/>
                <w:szCs w:val="15"/>
              </w:rPr>
              <w:t xml:space="preserve"> procedimiento de respaldo y restauración de la base probado, y objetivos de disponibilidad aprobados. </w:t>
            </w:r>
            <w:r>
              <w:rPr>
                <w:b/>
                <w:bCs/>
                <w:sz w:val="15"/>
                <w:szCs w:val="15"/>
              </w:rPr>
              <w:t xml:space="preserve">No definidos.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RNF-08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Compatibilidad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Compatibilidad</w:t>
            </w:r>
          </w:p>
        </w:tc>
        <w:tc>
          <w:tcPr>
            <w:tcW w:w="172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El sistema debe operar en los navegadores modernos definidos para el entorno académico.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Criterio propuesto:</w:t>
            </w:r>
            <w:r>
              <w:rPr>
                <w:sz w:val="15"/>
                <w:szCs w:val="15"/>
              </w:rPr>
              <w:t xml:space="preserve"> lista de navegadores y versiones aprobada, y pruebas en cada uno. </w:t>
            </w:r>
            <w:r>
              <w:rPr>
                <w:b/>
                <w:bCs/>
                <w:sz w:val="15"/>
                <w:szCs w:val="15"/>
              </w:rPr>
              <w:t xml:space="preserve">No hay matriz formal.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Baja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RNF-09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Mantenibilidad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Mantenibilidad</w:t>
            </w:r>
          </w:p>
        </w:tc>
        <w:tc>
          <w:tcPr>
            <w:tcW w:w="172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El sistema debe mantener una arquitectura modular con separación de responsabilidades.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Monolito modular por dominio: controlador delgado → Form Request → Policy → servicio → modelo, con máquinas de estado en enums. Suites automatizadas de regresión en CI: build, tsc y PHPUnit.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RNF-10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Seguridad (integridad)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Integridad de datos</w:t>
            </w:r>
          </w:p>
        </w:tc>
        <w:tc>
          <w:tcPr>
            <w:tcW w:w="172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El sistema debe validar estados, rangos, ponderaciones y resultados antes de guardarlos.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Form Requests en cada operación; máquinas de estado que rechazan transiciones inválidas; validadores de ponderaciones y puntajes; restricciones CHECK, UNIQUE y FK; un solo seleccionado por vacante; los IDs no numéricos devuelven 404.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Alta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Detalle de requerimientos no funcionales</w:t>
      </w:r>
    </w:p>
    <w:p>
      <w:pPr>
        <w:keepNext/>
        <w:spacing w:after="60"/>
        <w:ind w:left="284"/>
      </w:pPr>
      <w:r>
        <w:rPr>
          <w:b/>
          <w:bCs/>
        </w:rPr>
        <w:t xml:space="preserve">RNF-01: Seguridad y control de acceso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136"/>
        <w:gridCol w:w="6079"/>
      </w:tblGrid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Categoría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Seguridad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autenticar a todo usuario y autorizar cada operación en el servidor según su rol y su organización.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Métrica o criterio de aceptación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Toda ruta del personal exige sesión y rol (middleware </w:t>
            </w:r>
            <w:r>
              <w:rPr>
                <w:rFonts w:ascii="Consolas" w:hAnsi="Consolas"/>
                <w:sz w:val="16"/>
                <w:szCs w:val="16"/>
              </w:rPr>
              <w:t xml:space="preserve">role</w:t>
            </w:r>
            <w:r>
              <w:rPr>
                <w:sz w:val="16"/>
                <w:szCs w:val="16"/>
              </w:rPr>
              <w:t xml:space="preserve"> y Policies). Contraseñas con hash bcrypt. Límite de 5 intentos de inicio de sesión por minuto. Las pruebas de autorización por rol pasan sin fallos.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Justificación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gestiona datos de postulantes y decisiones de contratación: un acceso indebido compromete la confidencialidad y la decisión.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Método de verificación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Pruebas automatizadas: AuthenticationTest, RoleMiddlewareTest, pruebas «solo X puede…», E2E-01 y E2E-12.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Estado real de validación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y límites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QA de la F25: PHPUnit 411 superadas y 0 fallidas; Cypress 85/85 (docs/v1.1/phase-25-final-qa.md).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RNF-02: Multitenencia y aislamiento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136"/>
        <w:gridCol w:w="6079"/>
      </w:tblGrid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Categoría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Seguridad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garantizar que ninguna organización acceda a los datos de otra.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Métrica o criterio de aceptación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Toda entidad de negocio lleva </w:t>
            </w:r>
            <w:r>
              <w:rPr>
                <w:rFonts w:ascii="Consolas" w:hAnsi="Consolas"/>
                <w:sz w:val="16"/>
                <w:szCs w:val="16"/>
              </w:rPr>
              <w:t xml:space="preserve">organization_id</w:t>
            </w:r>
            <w:r>
              <w:rPr>
                <w:sz w:val="16"/>
                <w:szCs w:val="16"/>
              </w:rPr>
              <w:t xml:space="preserve"> y un scope global. Las Policies comparan rol y organización. Las pruebas cross-tenant pasan sin fallos.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Justificación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Es la condición del modelo SaaS multiempresa: una fuga entre organizaciones invalida el producto.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Método de verificación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Pruebas automatizadas: CrossTenantAccessTest, OrganizationScopeTest, pruebas cross-tenant por RF y E2E-11.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Estado real de validación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y límites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F25: sin fugas entre organizaciones y 22 pruebas cross-tenant explícitas (phase-25-final-qa.md §14).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RNF-03: Trazabilidad y auditoría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136"/>
        <w:gridCol w:w="6079"/>
      </w:tblGrid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Categoría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Seguridad (responsabilidad)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registrar el usuario, la organización, la acción, la fecha y el objeto afectado de cada acción crítica, en un registro que no se pueda modificar.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Métrica o criterio de aceptación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Cada acción crítica deja un registro. La tabla </w:t>
            </w:r>
            <w:r>
              <w:rPr>
                <w:rFonts w:ascii="Consolas" w:hAnsi="Consolas"/>
                <w:sz w:val="16"/>
                <w:szCs w:val="16"/>
              </w:rPr>
              <w:t xml:space="preserve">audit_logs</w:t>
            </w:r>
            <w:r>
              <w:rPr>
                <w:sz w:val="16"/>
                <w:szCs w:val="16"/>
              </w:rPr>
              <w:t xml:space="preserve"> rechaza UPDATE y DELETE mediante un trigger. Los historiales de estado registran quién, cuándo y de qué estado a cuál.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Justificación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Da sustento a la decisión humana y permite reconstruir el proceso (P2, P5).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Método de verificación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Pruebas automatizadas: AuditTrailTest, AuditLogViewTest, AuditLoggerTest y E2E-11; inspección del trigger </w:t>
            </w:r>
            <w:r>
              <w:rPr>
                <w:rFonts w:ascii="Consolas" w:hAnsi="Consolas"/>
                <w:sz w:val="16"/>
                <w:szCs w:val="16"/>
              </w:rPr>
              <w:t xml:space="preserve">audit_logs_append_only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Estado real de validación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y límites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DEF-07 y DEF-08 corregidos y cubiertos por pruebas (docs/defects.md).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RNF-04: Privacidad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136"/>
        <w:gridCol w:w="6079"/>
      </w:tblGrid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Categoría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Seguridad (confidencialidad)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minimizar los datos del postulante y restringir su acceso según el rol y el vínculo con la vacante.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Métrica o criterio de aceptación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No se almacenan DNI, fecha de nacimiento ni atributos sensibles no requeridos. El CV se guarda en disco privado con nombre UUID y solo lo descargan los usuarios autorizados por la Policy. Las notificaciones no incluyen datos de otros candidatos.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Justificación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Protege a los postulantes y limita la exposición de datos personales.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Método de verificación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Pruebas automatizadas: CandidateProfileTest y ProcessResultNotificationTest; inspección de la Policy CandidateDocumentPolicy y del modelo de datos (A-15).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Estado real de validación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y límites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Solo datos ficticios en el repositorio; barrido de secretos y PII en la F25 y la F26.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RNF-05: Usabilidad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136"/>
        <w:gridCol w:w="6079"/>
      </w:tblGrid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Categoría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Usabilidad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ofrecer formularios, mensajes y navegación comprensibles y consistentes.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Métrica o criterio de aceptación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Interfaz en español; errores por campo; estados vacíos; navegación por rol; diseño adaptable de 320 a 1440 px; contraste AA en modo claro y oscuro; foco visible y enlace de salto.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Justificación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Los usuarios del Colegio y los postulantes no son técnicos. Los errores de uso afectan a la calidad del registro.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Método de verificación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Recorrido manual (docs/manual-smoke-test.md), QA visual y de accesibilidad de la F21 (E2E-16, E2E-19, contraste automatizado) y QA de la F25.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Estado real de validación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EVIDENCIA PARCIAL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y límites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No hay pruebas de usabilidad con usuarios reales, y la prueba con un lector de pantalla real está pendiente. La accesibilidad WCAG 2.1 AA como requisito es el candidato RNF-A (propuesta).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RNF-06: Rendimiento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136"/>
        <w:gridCol w:w="6079"/>
      </w:tblGrid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Categoría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Eficiencia de desempeño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medir sus operaciones críticas contra una línea base documentada.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Métrica o criterio de aceptación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Criterio propuesto:</w:t>
            </w:r>
            <w:r>
              <w:rPr>
                <w:sz w:val="16"/>
                <w:szCs w:val="16"/>
              </w:rPr>
              <w:t xml:space="preserve"> fijar un entorno de referencia, medir una línea base de las operaciones críticas (listado de postulaciones, comparación, registro de decisión) y aprobar umbrales antes de cualquier aceptación productiva. </w:t>
            </w:r>
            <w:r>
              <w:rPr>
                <w:b/>
                <w:bCs/>
                <w:sz w:val="16"/>
                <w:szCs w:val="16"/>
              </w:rPr>
              <w:t xml:space="preserve">No hay umbral aprobado.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Justificación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Hace falta una base objetiva antes de fijar un SLA. El volumen académico es bajo.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Método de verificación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Medición en un entorno acordado (Navigation Timing o pruebas de carga), a definir.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Estado real de validación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NO VERIFICADO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y límites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Solo hay medición exploratoria de la F25 en un equipo potente: no es un benchmark ni un SLA. No se ejecutaron pruebas de carga. El presupuesto de rendimiento es el candidato RNF-B (propuesta).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RNF-07: Disponibilidad y recuperabilidad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136"/>
        <w:gridCol w:w="6079"/>
      </w:tblGrid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Categoría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Fiabilidad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detectar fallas y recuperarse de ellas sin corromper los datos.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Métrica o criterio de aceptación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Criterio propuesto:</w:t>
            </w:r>
            <w:r>
              <w:rPr>
                <w:sz w:val="16"/>
                <w:szCs w:val="16"/>
              </w:rPr>
              <w:t xml:space="preserve"> procedimiento de respaldo y restauración de la base probado, y objetivos de disponibilidad aprobados. </w:t>
            </w:r>
            <w:r>
              <w:rPr>
                <w:b/>
                <w:bCs/>
                <w:sz w:val="16"/>
                <w:szCs w:val="16"/>
              </w:rPr>
              <w:t xml:space="preserve">No definidos.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Justificación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Evita perder expedientes y decisiones. El entorno entregado es de desarrollo y demostración (A-36).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Método de verificación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Prueba de respaldo y restauración y monitoreo del servicio, a definir.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Estado real de validación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NO VERIFICADO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y límites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Hay controles de integridad (transacciones, notificaciones tras el commit, restricciones de la base) y healthchecks de Docker Compose, pero no pruebas de respaldo o restauración ni objetivos de disponibilidad.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RNF-08: Compatibilidad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136"/>
        <w:gridCol w:w="6079"/>
      </w:tblGrid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Categoría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Compatibilidad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operar en los navegadores modernos definidos para el entorno académico.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Métrica o criterio de aceptación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Criterio propuesto:</w:t>
            </w:r>
            <w:r>
              <w:rPr>
                <w:sz w:val="16"/>
                <w:szCs w:val="16"/>
              </w:rPr>
              <w:t xml:space="preserve"> lista de navegadores y versiones aprobada, y pruebas en cada uno. </w:t>
            </w:r>
            <w:r>
              <w:rPr>
                <w:b/>
                <w:bCs/>
                <w:sz w:val="16"/>
                <w:szCs w:val="16"/>
              </w:rPr>
              <w:t xml:space="preserve">No hay matriz formal.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Justificación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uso académico se concentra en navegadores de escritorio y móviles actuales.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Método de verificación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Suite E2E en cada navegador de la lista, a definir.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Estado real de validación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EVIDENCIA PARCIAL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y límites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Cypress se ejecuta en Electron (motor Chromium), con anchos de 320 a 1440 px. Firefox y Safari no se probaron de forma sistemática.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RNF-09: Mantenibilidad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136"/>
        <w:gridCol w:w="6079"/>
      </w:tblGrid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Categoría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Mantenibilidad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mantener una arquitectura modular con separación de responsabilidades.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Métrica o criterio de aceptación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Monolito modular por dominio: controlador delgado → Form Request → Policy → servicio → modelo, con máquinas de estado en enums. Suites automatizadas de regresión en CI: build, tsc y PHPUnit.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Justificación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Facilita la evolución (v1.1) sin romper la línea base.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Método de verificación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Inspección de la estructura de </w:t>
            </w:r>
            <w:r>
              <w:rPr>
                <w:rFonts w:ascii="Consolas" w:hAnsi="Consolas"/>
                <w:sz w:val="16"/>
                <w:szCs w:val="16"/>
              </w:rPr>
              <w:t xml:space="preserve">app/</w:t>
            </w:r>
            <w:r>
              <w:rPr>
                <w:sz w:val="16"/>
                <w:szCs w:val="16"/>
              </w:rPr>
              <w:t xml:space="preserve">; suites PHPUnit, Vitest y tsc; CI de GitHub.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Estado real de validación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EVIDENCIA PARCIAL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y límites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La estructura y las suites están verificadas (F25: 411 PHPUnit, 42 Vitest, tsc sin errores). No se midieron métricas de mantenibilidad (complejidad, cobertura) y hay deuda de formato aceptada (Pint, vp check).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RNF-10: Integridad de datos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136"/>
        <w:gridCol w:w="6079"/>
      </w:tblGrid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Categoría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Seguridad (integridad)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validar estados, rangos, ponderaciones y resultados antes de guardarlos.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Métrica o criterio de aceptación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Form Requests en cada operación; máquinas de estado que rechazan transiciones inválidas; validadores de ponderaciones y puntajes; restricciones CHECK, UNIQUE y FK; un solo seleccionado por vacante; los IDs no numéricos devuelven 404.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Justificación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La integridad es la base del ranking y de la decisión (P3).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Método de verificación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Pruebas automatizadas: WeightingValidatorTest, ScoreSheetValidatorTest, ApplicationStatusTest, SelectionRegistrationTest y NumericRouteParametersTest.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Estado real de validación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y límites</w:t>
            </w:r>
          </w:p>
        </w:tc>
        <w:tc>
          <w:tcPr>
            <w:tcW w:w="607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F25-M01 corregido (500 → 404) con prueba de regresión.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Clasificación por atributos de calidad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875"/>
        <w:gridCol w:w="5340"/>
      </w:tblGrid>
      <w:tr>
        <w:trPr>
          <w:cantSplit/>
          <w:tblHeader/>
        </w:trPr>
        <w:tc>
          <w:tcPr>
            <w:tcW w:w="287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Categoría</w:t>
            </w:r>
          </w:p>
        </w:tc>
        <w:tc>
          <w:tcPr>
            <w:tcW w:w="5340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Requerimientos asociados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Rendimiento</w:t>
            </w:r>
          </w:p>
        </w:tc>
        <w:tc>
          <w:tcPr>
            <w:tcW w:w="534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RNF-06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w="534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RNF-01, RNF-02, RNF-03, RNF-04, RNF-10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Usabilidad</w:t>
            </w:r>
          </w:p>
        </w:tc>
        <w:tc>
          <w:tcPr>
            <w:tcW w:w="534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RNF-05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Disponibilidad</w:t>
            </w:r>
          </w:p>
        </w:tc>
        <w:tc>
          <w:tcPr>
            <w:tcW w:w="534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RNF-07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Compatibilidad</w:t>
            </w:r>
          </w:p>
        </w:tc>
        <w:tc>
          <w:tcPr>
            <w:tcW w:w="534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RNF-08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Mantenibilidad</w:t>
            </w:r>
          </w:p>
        </w:tc>
        <w:tc>
          <w:tcPr>
            <w:tcW w:w="534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RNF-09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Matriz de equivalencia: RNF académico ↔ RNF técnico ↔ evidencia ↔ estado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300"/>
        <w:gridCol w:w="3615"/>
        <w:gridCol w:w="985"/>
        <w:gridCol w:w="1314"/>
      </w:tblGrid>
      <w:tr>
        <w:trPr>
          <w:cantSplit/>
          <w:tblHeader/>
        </w:trPr>
        <w:tc>
          <w:tcPr>
            <w:tcW w:w="2300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RNF académico (F9)</w:t>
            </w:r>
          </w:p>
        </w:tc>
        <w:tc>
          <w:tcPr>
            <w:tcW w:w="361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RNF técnico (informe v1.0, cap. 4 §4.3)</w:t>
            </w:r>
          </w:p>
        </w:tc>
        <w:tc>
          <w:tcPr>
            <w:tcW w:w="98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Relación</w:t>
            </w:r>
          </w:p>
        </w:tc>
        <w:tc>
          <w:tcPr>
            <w:tcW w:w="131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RNF-01 Seguridad y control de acceso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cap. 4 RNF-01 (autenticación) + RNF-02 (autorización)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 → 2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RNF-02 Multitenencia y aislamiento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cap. 4 RNF-03 (aislamiento multiempresa)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 → 1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RNF-03 Trazabilidad y auditoría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cap. 4 RNF-05 (responsabilidad) + RNF-10 (trazabilidad funcional)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 → 2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RNF-04 Privacidad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cap. 4 RNF-06 (privacidad)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 → 1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RNF-05 Usabilidad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cap. 4 RNF-07 (usabilidad); candidato RNF-A (accesibilidad, propuesta)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 → 1 (+ candidato)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PARCIAL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RNF-06 Rendimiento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Sin equivalente técnico (el cap. 4 declara que no hay SLA ni pruebas de carga); candidato RNF-B (propuesta)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 → 0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NO VERIFICADO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RNF-07 Disponibilidad y recuperabilidad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Sin equivalente técnico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 → 0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NO VERIFICADO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RNF-08 Compatibilidad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Sin equivalente técnico (el cap. 4 RNF-07 cubre el diseño adaptable, no los navegadores)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 → 0 (parcial)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PARCIAL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RNF-09 Mantenibilidad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cap. 4 RNF-08 (mantenibilidad)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 → 1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PARCIAL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RNF-10 Integridad de datos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cap. 4 RNF-04 (integridad)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 → 1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VERIFICADO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La relación </w:t>
      </w:r>
      <w:r>
        <w:rPr>
          <w:b/>
          <w:bCs/>
        </w:rPr>
        <w:t xml:space="preserve">no es 1:1</w:t>
      </w:r>
      <w:r>
        <w:t xml:space="preserve">. Tres RNF académicos (RNF-06, RNF-07 y RNF-08) no tienen equivalente técnico, y dos RNF técnicos no tienen equivalente académico. Unificar los catálogos es una decisión del equipo (F24 L-01).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07"/>
        <w:gridCol w:w="3943"/>
        <w:gridCol w:w="2464"/>
      </w:tblGrid>
      <w:tr>
        <w:trPr>
          <w:cantSplit/>
          <w:tblHeader/>
        </w:trPr>
        <w:tc>
          <w:tcPr>
            <w:tcW w:w="180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RNF técnico sin equivalente académico</w:t>
            </w:r>
          </w:p>
        </w:tc>
        <w:tc>
          <w:tcPr>
            <w:tcW w:w="394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Requerimiento</w:t>
            </w:r>
          </w:p>
        </w:tc>
        <w:tc>
          <w:tcPr>
            <w:tcW w:w="246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cap. 4 RNF-09</w:t>
            </w:r>
          </w:p>
        </w:tc>
        <w:tc>
          <w:tcPr>
            <w:tcW w:w="394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Portabilidad: ejecución completa con Docker e instalación desde cero documentada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VERIFICADO (docs/docker.md; validación en un clon limpio, cap. 10)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cap. 4 RNF-11</w:t>
            </w:r>
          </w:p>
        </w:tc>
        <w:tc>
          <w:tcPr>
            <w:tcW w:w="394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Adecuación (localización): fechas y horas en America/Lima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VERIFICADO (AppTimezoneTest, DEF-09)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Candidatos fuera de la línea base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657"/>
        <w:gridCol w:w="2629"/>
        <w:gridCol w:w="1068"/>
        <w:gridCol w:w="3861"/>
      </w:tblGrid>
      <w:tr>
        <w:trPr>
          <w:cantSplit/>
          <w:tblHeader/>
        </w:trPr>
        <w:tc>
          <w:tcPr>
            <w:tcW w:w="65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w="2629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Candidato</w:t>
            </w:r>
          </w:p>
        </w:tc>
        <w:tc>
          <w:tcPr>
            <w:tcW w:w="106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w="3861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RNF-A</w:t>
            </w:r>
          </w:p>
        </w:tc>
        <w:tc>
          <w:tcPr>
            <w:tcW w:w="262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Accesibilidad WCAG 2.1 AA verificada en las pantallas de RF-01 a RF-27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PROPUESTO</w:t>
            </w:r>
          </w:p>
        </w:tc>
        <w:tc>
          <w:tcPr>
            <w:tcW w:w="386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Hay evidencia parcial de la F21 y la F25; falta un lector de pantalla real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RNF-B</w:t>
            </w:r>
          </w:p>
        </w:tc>
        <w:tc>
          <w:tcPr>
            <w:tcW w:w="262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Presupuesto de rendimiento del frontend con línea base medida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PROPUESTO</w:t>
            </w:r>
          </w:p>
        </w:tc>
        <w:tc>
          <w:tcPr>
            <w:tcW w:w="386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Sin línea base aprobada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RNF-C</w:t>
            </w:r>
          </w:p>
        </w:tc>
        <w:tc>
          <w:tcPr>
            <w:tcW w:w="262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Experiencia 3D progresiva en pantallas públicas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PROPUESTO</w:t>
            </w:r>
          </w:p>
        </w:tc>
        <w:tc>
          <w:tcPr>
            <w:tcW w:w="386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Implementada en la F20 (portada, CSS 3D), pero </w:t>
            </w:r>
            <w:r>
              <w:rPr>
                <w:b/>
                <w:bCs/>
                <w:sz w:val="16"/>
                <w:szCs w:val="16"/>
              </w:rPr>
              <w:t xml:space="preserve">no promovida</w:t>
            </w:r>
            <w:r>
              <w:rPr>
                <w:sz w:val="16"/>
                <w:szCs w:val="16"/>
              </w:rPr>
              <w:t xml:space="preserve">: implementar no promueve un requisito (decisión 11)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RNF-D</w:t>
            </w:r>
          </w:p>
        </w:tc>
        <w:tc>
          <w:tcPr>
            <w:tcW w:w="262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Observabilidad del proceso: métricas operativas y registro estructurado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PROPUESTO</w:t>
            </w:r>
          </w:p>
        </w:tc>
        <w:tc>
          <w:tcPr>
            <w:tcW w:w="386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Candidato de </w:t>
            </w:r>
            <w:r>
              <w:rPr>
                <w:rFonts w:ascii="Consolas" w:hAnsi="Consolas"/>
                <w:sz w:val="16"/>
                <w:szCs w:val="16"/>
              </w:rPr>
              <w:t xml:space="preserve">docs/v1.1/scope-preliminary.md</w:t>
            </w:r>
            <w:r>
              <w:rPr>
                <w:sz w:val="16"/>
                <w:szCs w:val="16"/>
              </w:rPr>
              <w:t xml:space="preserve">, refinado como «observabilidad operacional» en </w:t>
            </w:r>
            <w:r>
              <w:rPr>
                <w:rFonts w:ascii="Consolas" w:hAnsi="Consolas"/>
                <w:sz w:val="16"/>
                <w:szCs w:val="16"/>
              </w:rPr>
              <w:t xml:space="preserve">docs/v1.1/ml/requirements-and-traceability-plan.md</w:t>
            </w:r>
            <w:r>
              <w:rPr>
                <w:sz w:val="16"/>
                <w:szCs w:val="16"/>
              </w:rPr>
              <w:t xml:space="preserve">. Añadido al F7 en la F27D (H-10); </w:t>
            </w:r>
            <w:r>
              <w:rPr>
                <w:b/>
                <w:bCs/>
                <w:sz w:val="16"/>
                <w:szCs w:val="16"/>
              </w:rPr>
              <w:t xml:space="preserve">no</w:t>
            </w:r>
            <w:r>
              <w:rPr>
                <w:sz w:val="16"/>
                <w:szCs w:val="16"/>
              </w:rPr>
              <w:t xml:space="preserve"> forma parte de los 10 RNF académicos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RNF-A a RNF-D son </w:t>
      </w:r>
      <w:r>
        <w:rPr>
          <w:b/>
          <w:bCs/>
        </w:rPr>
        <w:t xml:space="preserve">propuestas separadas</w:t>
      </w:r>
      <w:r>
        <w:t xml:space="preserve"> de los 10 RNF académicos: no se cuentan en la línea base ni cambian su estado de verificación.</w:t>
      </w:r>
    </w:p>
    <w:sectPr w:rsidR="00C77A65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F4073" w14:textId="77777777" w:rsidR="00FF5C57" w:rsidRDefault="00FF5C57" w:rsidP="007A4B26">
      <w:pPr>
        <w:spacing w:after="0" w:line="240" w:lineRule="auto"/>
      </w:pPr>
      <w:r>
        <w:separator/>
      </w:r>
    </w:p>
  </w:endnote>
  <w:endnote w:type="continuationSeparator" w:id="0">
    <w:p w14:paraId="59353692" w14:textId="77777777" w:rsidR="00FF5C57" w:rsidRDefault="00FF5C57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B97FF" w14:textId="77777777" w:rsidR="00FF5C57" w:rsidRDefault="00FF5C57" w:rsidP="007A4B26">
      <w:pPr>
        <w:spacing w:after="0" w:line="240" w:lineRule="auto"/>
      </w:pPr>
      <w:r>
        <w:separator/>
      </w:r>
    </w:p>
  </w:footnote>
  <w:footnote w:type="continuationSeparator" w:id="0">
    <w:p w14:paraId="0A94E4B5" w14:textId="77777777" w:rsidR="00FF5C57" w:rsidRDefault="00FF5C57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80720994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47B73"/>
    <w:rsid w:val="0058190E"/>
    <w:rsid w:val="005D07C1"/>
    <w:rsid w:val="007438E4"/>
    <w:rsid w:val="007A4B26"/>
    <w:rsid w:val="0088053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CE3ED3"/>
    <w:rsid w:val="00DB3D15"/>
    <w:rsid w:val="00DD2621"/>
    <w:rsid w:val="00DD5913"/>
    <w:rsid w:val="00E047A5"/>
    <w:rsid w:val="00E37272"/>
    <w:rsid w:val="00EE7DF9"/>
    <w:rsid w:val="00F6625E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07 — Requerimientos no funcionales</dc:title>
  <dc:subject/>
  <dc:creator>Coronacion Meza Fredy; Peña Arroyo Anthony; Vila Meza Luis Antonio</dc:creator>
  <cp:keywords/>
  <dc:description/>
  <cp:lastModifiedBy>Equipo del proyecto</cp:lastModifiedBy>
  <cp:revision>8</cp:revision>
  <dcterms:created xsi:type="dcterms:W3CDTF">2026-03-16T06:30:00Z</dcterms:created>
  <dcterms:modified xsi:type="dcterms:W3CDTF">2026-04-06T21:09:00Z</dcterms:modified>
</cp:coreProperties>
</file>