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252A98E9" w:rsidR="007A4B26" w:rsidRDefault="007A4B26" w:rsidP="007A4B26">
      <w:pPr>
        <w:pStyle w:val="Ttulo1"/>
        <w:spacing w:line="240" w:lineRule="auto"/>
      </w:pPr>
      <w:r>
        <w:t>Formato 0</w:t>
      </w:r>
      <w:r w:rsidR="00757272">
        <w:t>8</w:t>
      </w:r>
      <w:r>
        <w:t>:</w:t>
      </w:r>
    </w:p>
    <w:p w14:paraId="1ED54D48" w14:textId="348281B8" w:rsidR="00C95537" w:rsidRDefault="00757272" w:rsidP="007A4B26">
      <w:pPr>
        <w:pStyle w:val="Ttulo1"/>
        <w:spacing w:before="0" w:after="240"/>
      </w:pPr>
      <w:r>
        <w:t>Diagrama de Casos de Uso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Análisis y Diseño de una Plataforma SaaS Multiempresa para la Gestión del Reclutamiento, Evaluación y Selección de Personal – Caso de estudio: Colegio Andino de Huancayo</w:t>
            </w:r>
          </w:p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Coronacion Meza Fredy; Peña Arroyo Anthony; Vila Meza Luis Antonio</w:t>
            </w:r>
          </w:p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3980F50A" w:rsidR="00F6625E" w:rsidRDefault="00547B73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Módulo / Sistema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Plataforma SaaS multiempresa de reclutamiento, evaluación y selección (línea base RF-01 a RF-27)</w:t>
            </w:r>
          </w:p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Dr. Maglioni Arana Caparachin</w:t>
            </w:r>
          </w:p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364AEA07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>
            <w:pPr>
              <w:spacing w:after="0"/>
            </w:pPr>
            <w:r>
              <w:t xml:space="preserve">26/09/2026</w:t>
            </w:r>
          </w:p>
        </w:tc>
      </w:tr>
    </w:tbl>
    <w:p>
      <w:pPr>
        <w:spacing w:after="0"/>
        <w:ind w:left="284"/>
      </w:pP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  <w:shd w:val="clear" w:color="auto" w:fill="FFF2CC"/>
          </w:tcPr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Estado de la información de este formato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HECHO VERIFICADO:</w:t>
            </w:r>
            <w:r>
              <w:rPr>
                <w:sz w:val="18"/>
                <w:szCs w:val="18"/>
              </w:rPr>
              <w:t xml:space="preserve"> comprobado en el repositorio (código, pruebas ejecutadas, documentos versionados).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AS-IS PRELIMINAR:</w:t>
            </w:r>
            <w:r>
              <w:rPr>
                <w:sz w:val="18"/>
                <w:szCs w:val="18"/>
              </w:rPr>
              <w:t xml:space="preserve"> reconstrucción del proceso actual hecha por el equipo; </w:t>
            </w:r>
            <w:r>
              <w:rPr>
                <w:b/>
                <w:bCs/>
                <w:sz w:val="18"/>
                <w:szCs w:val="18"/>
              </w:rPr>
              <w:t xml:space="preserve">sujeta a validación institucional</w:t>
            </w:r>
            <w:r>
              <w:rPr>
                <w:sz w:val="18"/>
                <w:szCs w:val="18"/>
              </w:rPr>
              <w:t xml:space="preserve"> (RR. HH. / Administración del Colegio). No es un procedimiento validado por la institución.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TO-BE PROPUESTO:</w:t>
            </w:r>
            <w:r>
              <w:rPr>
                <w:sz w:val="18"/>
                <w:szCs w:val="18"/>
              </w:rPr>
              <w:t xml:space="preserve"> proceso mejorado diseñado por el equipo; su adopción en la institución no está validada.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SOFTWARE IMPLEMENTADO:</w:t>
            </w:r>
            <w:r>
              <w:rPr>
                <w:sz w:val="18"/>
                <w:szCs w:val="18"/>
              </w:rPr>
              <w:t xml:space="preserve"> comportamiento de la plataforma v1.1 (etiqueta v1.1.0-academic), verificado con pruebas.</w:t>
            </w:r>
          </w:p>
          <w:p>
            <w:pPr>
              <w:spacing w:after="60" w:line="252" w:lineRule="auto"/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EXPERIMENTAL / PROPUESTO:</w:t>
            </w:r>
            <w:r>
              <w:rPr>
                <w:sz w:val="18"/>
                <w:szCs w:val="18"/>
              </w:rPr>
              <w:t xml:space="preserve"> RF-28 (candidato, no implementado), RF-29 (experimental, solo sobre el proceso) y RNF-C (propuesta). No forman parte de la línea base RF-01 a RF-27.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Los casos de uso representan el </w:t>
            </w:r>
            <w:r>
              <w:rPr>
                <w:b/>
                <w:bCs/>
                <w:sz w:val="18"/>
                <w:szCs w:val="18"/>
              </w:rPr>
              <w:t xml:space="preserve">SOFTWARE IMPLEMENTADO</w:t>
            </w:r>
            <w:r>
              <w:rPr>
                <w:sz w:val="18"/>
                <w:szCs w:val="18"/>
              </w:rPr>
              <w:t xml:space="preserve"> de la línea base RF-01 a RF-27. El diagrama académico está formalizado en PowerDesigner (F29): diagrama «F8 - Casos de Uso Academicos». La vista técnica UC-01 de PowerDesigner (F23) se conserva como referencia y no se modifica.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plataforma </w:t>
            </w:r>
            <w:r>
              <w:rPr>
                <w:b/>
                <w:bCs/>
                <w:sz w:val="18"/>
                <w:szCs w:val="18"/>
              </w:rPr>
              <w:t xml:space="preserve">nunca</w:t>
            </w:r>
            <w:r>
              <w:rPr>
                <w:sz w:val="18"/>
                <w:szCs w:val="18"/>
              </w:rPr>
              <w:t xml:space="preserve"> selecciona, descarta ni contrata automáticamente: el ranking calcula, ordena y compara.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La decisión final de selección es </w:t>
            </w:r>
            <w:r>
              <w:rPr>
                <w:b/>
                <w:bCs/>
                <w:sz w:val="18"/>
                <w:szCs w:val="18"/>
              </w:rPr>
              <w:t xml:space="preserve">humana</w:t>
            </w:r>
            <w:r>
              <w:rPr>
                <w:sz w:val="18"/>
                <w:szCs w:val="18"/>
              </w:rPr>
              <w:t xml:space="preserve">: la registra el Aprobador / Dirección con confirmación explícita y justificación (RF-23).</w:t>
            </w:r>
          </w:p>
          <w:p>
            <w:pPr>
              <w:spacing w:after="60" w:line="252" w:lineRule="auto"/>
              <w:jc w:val="left"/>
            </w:pPr>
            <w:r>
              <w:rPr>
                <w:sz w:val="18"/>
                <w:szCs w:val="18"/>
              </w:rPr>
              <w:t xml:space="preserve">Todos los datos de ejemplo son ficticios. No se usan datos personales reales.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Descripción general del sistema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Describir brevemente el sistema a desarrollar.</w:t>
      </w:r>
    </w:p>
    <w:p>
      <w:pPr>
        <w:keepNext/>
        <w:spacing w:after="60"/>
        <w:ind w:left="284"/>
      </w:pPr>
      <w:r>
        <w:rPr>
          <w:b/>
          <w:bCs/>
        </w:rPr>
        <w:t xml:space="preserve">Objetivo del sistema.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Gestionar de forma centralizada, trazable y multiempresa el ciclo de reclutamiento, evaluación y selección de personal: desde el requerimiento hasta el cierre de la convocatoria. Los datos de cada organización quedan aislados y la decisión final de selección se reserva a una persona autorizada (Aprobador / Dirección).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Funcionalidades principales.</w:t>
      </w:r>
    </w:p>
    <w:p>
      <w:pPr>
        <w:spacing w:after="40"/>
        <w:ind w:left="567"/>
      </w:pPr>
      <w:r>
        <w:t xml:space="preserve">• Requerimientos de personal (CU-01 a CU-03).</w:t>
      </w:r>
    </w:p>
    <w:p>
      <w:pPr>
        <w:spacing w:after="40"/>
        <w:ind w:left="567"/>
      </w:pPr>
      <w:r>
        <w:t xml:space="preserve">• Vacantes (CU-04 a CU-06).</w:t>
      </w:r>
    </w:p>
    <w:p>
      <w:pPr>
        <w:spacing w:after="40"/>
        <w:ind w:left="567"/>
      </w:pPr>
      <w:r>
        <w:t xml:space="preserve">• Cuenta y postulación (CU-07 a CU-09).</w:t>
      </w:r>
    </w:p>
    <w:p>
      <w:pPr>
        <w:spacing w:after="40"/>
        <w:ind w:left="567"/>
      </w:pPr>
      <w:r>
        <w:t xml:space="preserve">• Seguimiento de postulaciones (CU-10 a CU-12).</w:t>
      </w:r>
    </w:p>
    <w:p>
      <w:pPr>
        <w:spacing w:after="40"/>
        <w:ind w:left="567"/>
      </w:pPr>
      <w:r>
        <w:t xml:space="preserve">• Evaluación y entrevista (CU-13 a CU-15).</w:t>
      </w:r>
    </w:p>
    <w:p>
      <w:pPr>
        <w:spacing w:after="40"/>
        <w:ind w:left="567"/>
      </w:pPr>
      <w:r>
        <w:t xml:space="preserve">• Comparación y ranking (CU-16 y CU-17).</w:t>
      </w:r>
    </w:p>
    <w:p>
      <w:pPr>
        <w:spacing w:after="40"/>
        <w:ind w:left="567"/>
      </w:pPr>
      <w:r>
        <w:t xml:space="preserve">• Decisión humana, selección y cierre (CU-18 a CU-20), con auditoría.</w:t>
      </w:r>
    </w:p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Relación con los requerimientos funcionales.</w:t>
      </w:r>
    </w:p>
    <w:tbl>
      <w:tblPr>
        <w:tblStyle w:val="Tablaconcuadrcula"/>
        <w:tblW w:w="8216" w:type="dxa"/>
        <w:tblInd w:w="284" w:type="dxa"/>
        <w:tblLook w:val="04A0" w:firstRow="1" w:lastRow="0" w:firstColumn="1" w:lastColumn="0" w:noHBand="0" w:noVBand="1"/>
      </w:tblPr>
      <w:tblGrid>
        <w:gridCol w:w="8216"/>
      </w:tblGrid>
      <w:tr>
        <w:tc>
          <w:tcPr>
            <w:tcW w:w="8216" w:type="dxa"/>
          </w:tcPr>
          <w:p>
            <w:pPr>
              <w:spacing w:after="60" w:line="252" w:lineRule="auto"/>
              <w:jc w:val="left"/>
            </w:pPr>
            <w:r>
              <w:t xml:space="preserve">Los 20 CU cubren RF-01 a RF-26 del Formato 06, sin RF adicionales. </w:t>
            </w:r>
            <w:r>
              <w:rPr>
                <w:b/>
                <w:bCs/>
              </w:rPr>
              <w:t xml:space="preserve">RF-27</w:t>
            </w:r>
            <w:r>
              <w:t xml:space="preserve"> (auditoría) es transversal: su registro ocurre en todas las acciones críticas y su consulta es una capacidad técnica (UC-RF27), fuera del catálogo académico (decisión D-CU-04). RF-28 y RF-29 son extensiones fuera de esta vista.</w:t>
            </w:r>
          </w:p>
        </w:tc>
      </w:tr>
    </w:tbl>
    <w:p>
      <w:pPr>
        <w:spacing w:after="0"/>
        <w:ind w:left="284"/>
      </w:pPr>
    </w:p>
    <w:p>
      <w:pPr>
        <w:keepNext/>
        <w:spacing w:after="60"/>
        <w:ind w:left="284"/>
      </w:pPr>
      <w:r>
        <w:rPr>
          <w:b/>
          <w:bCs/>
        </w:rPr>
        <w:t xml:space="preserve">Decisión del equipo sobre los casos de uso (F27D)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150"/>
        <w:gridCol w:w="7065"/>
      </w:tblGrid>
      <w:tr>
        <w:trPr>
          <w:cantSplit/>
          <w:tblHeader/>
        </w:trPr>
        <w:tc>
          <w:tcPr>
            <w:tcW w:w="115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706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D-CU-01</w:t>
            </w:r>
          </w:p>
        </w:tc>
        <w:tc>
          <w:tcPr>
            <w:tcW w:w="706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Los 20 casos de uso académicos (CU-01 a CU-20) quedan </w:t>
            </w:r>
            <w:r>
              <w:rPr>
                <w:b/>
                <w:bCs/>
                <w:sz w:val="18"/>
                <w:szCs w:val="18"/>
              </w:rPr>
              <w:t xml:space="preserve">aprobados</w:t>
            </w:r>
            <w:r>
              <w:rPr>
                <w:sz w:val="18"/>
                <w:szCs w:val="18"/>
              </w:rPr>
              <w:t xml:space="preserve">. No se amplía el catálogo.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D-CU-02</w:t>
            </w:r>
          </w:p>
        </w:tc>
        <w:tc>
          <w:tcPr>
            <w:tcW w:w="706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CU-18 se renombra a </w:t>
            </w:r>
            <w:r>
              <w:rPr>
                <w:b/>
                <w:bCs/>
                <w:sz w:val="18"/>
                <w:szCs w:val="18"/>
              </w:rPr>
              <w:t xml:space="preserve">«Registrar decisión final humana»</w:t>
            </w:r>
            <w:r>
              <w:rPr>
                <w:sz w:val="18"/>
                <w:szCs w:val="18"/>
              </w:rPr>
              <w:t xml:space="preserve">. RF-23 conserva su ID. Alias histórico: «Registrar decisión final» (F27B y CU-11 agrupado de v1.0).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D-CU-03</w:t>
            </w:r>
          </w:p>
        </w:tc>
        <w:tc>
          <w:tcPr>
            <w:tcW w:w="706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CU-21 «Consultar auditoría»: </w:t>
            </w:r>
            <w:r>
              <w:rPr>
                <w:b/>
                <w:bCs/>
                <w:sz w:val="18"/>
                <w:szCs w:val="18"/>
              </w:rPr>
              <w:t xml:space="preserve">DIFERIDO</w:t>
            </w:r>
            <w:r>
              <w:rPr>
                <w:sz w:val="18"/>
                <w:szCs w:val="18"/>
              </w:rPr>
              <w:t xml:space="preserve">. No forma parte del catálogo de esta versión.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D-CU-04</w:t>
            </w:r>
          </w:p>
        </w:tc>
        <w:tc>
          <w:tcPr>
            <w:tcW w:w="706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La consulta de auditoría se documenta como </w:t>
            </w:r>
            <w:r>
              <w:rPr>
                <w:b/>
                <w:bCs/>
                <w:sz w:val="18"/>
                <w:szCs w:val="18"/>
              </w:rPr>
              <w:t xml:space="preserve">capacidad técnica vinculada a RF-27</w:t>
            </w:r>
            <w:r>
              <w:rPr>
                <w:sz w:val="18"/>
                <w:szCs w:val="18"/>
              </w:rPr>
              <w:t xml:space="preserve">, sin crear un CU académico.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rPr>
          <w:b/>
          <w:bCs/>
        </w:rPr>
        <w:t xml:space="preserve">Nota técnica.</w:t>
      </w:r>
      <w:r>
        <w:t xml:space="preserve"> Consulta de auditoría vinculada a RF-27 y ACT-03; cubierta por la vista técnica UC-RF27 y fuera del catálogo académico CU-01..CU-20 de esta versión.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Identificación de actores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821"/>
        <w:gridCol w:w="1807"/>
        <w:gridCol w:w="5586"/>
      </w:tblGrid>
      <w:tr>
        <w:trPr>
          <w:cantSplit/>
          <w:tblHeader/>
        </w:trPr>
        <w:tc>
          <w:tcPr>
            <w:tcW w:w="82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1807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5586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ACT-01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Área solicitante</w:t>
            </w:r>
          </w:p>
        </w:tc>
        <w:tc>
          <w:tcPr>
            <w:tcW w:w="55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Interno. Registra, envía y corrige requerimientos; recibe la notificación de rechazo.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ACT-02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Recursos Humanos</w:t>
            </w:r>
          </w:p>
        </w:tc>
        <w:tc>
          <w:tcPr>
            <w:tcW w:w="55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Interno. Valida requerimientos y gestiona vacantes, postulaciones, sesiones, selección y cierre. No toma la decisión final.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ACT-03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Aprobador / Dirección</w:t>
            </w:r>
          </w:p>
        </w:tc>
        <w:tc>
          <w:tcPr>
            <w:tcW w:w="55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Interno. Aprueba o rechaza requerimientos, consulta la comparación, </w:t>
            </w:r>
            <w:r>
              <w:rPr>
                <w:b/>
                <w:bCs/>
                <w:sz w:val="18"/>
                <w:szCs w:val="18"/>
              </w:rPr>
              <w:t xml:space="preserve">registra la decisión final humana</w:t>
            </w:r>
            <w:r>
              <w:rPr>
                <w:sz w:val="18"/>
                <w:szCs w:val="18"/>
              </w:rPr>
              <w:t xml:space="preserve"> y consulta la auditoría.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ACT-04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Postulante</w:t>
            </w:r>
          </w:p>
        </w:tc>
        <w:tc>
          <w:tcPr>
            <w:tcW w:w="55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Externo. Gestiona su cuenta, su perfil, su CV y sus postulaciones; recibe convocatorias, avisos y resultados propios.</w:t>
            </w:r>
          </w:p>
        </w:tc>
      </w:tr>
      <w:tr>
        <w:trPr>
          <w:cantSplit/>
        </w:trPr>
        <w:tc>
          <w:tcPr>
            <w:tcW w:w="821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ACT-05</w:t>
            </w:r>
          </w:p>
        </w:tc>
        <w:tc>
          <w:tcPr>
            <w:tcW w:w="1807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Evaluador</w:t>
            </w:r>
          </w:p>
        </w:tc>
        <w:tc>
          <w:tcPr>
            <w:tcW w:w="5586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Interno. Registra puntajes, resultado y observaciones de las sesiones que tiene asignadas.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El Sistema no es un actor: valida, calcula, notifica y audita como parte de los casos (inclusiones). No existen actores de superadministración ni de facturación (OUT-01 a OUT-03). El servicio de riesgo operacional (RF-29) es un actor secundario experimental que solo aparece en la vista técnica UC-RF.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Identificación de casos de uso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739"/>
        <w:gridCol w:w="2711"/>
        <w:gridCol w:w="4765"/>
      </w:tblGrid>
      <w:tr>
        <w:trPr>
          <w:cantSplit/>
          <w:tblHeader/>
        </w:trPr>
        <w:tc>
          <w:tcPr>
            <w:tcW w:w="73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tcPr>
            <w:tcW w:w="271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Caso de uso</w:t>
            </w:r>
          </w:p>
        </w:tc>
        <w:tc>
          <w:tcPr>
            <w:tcW w:w="476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CU-01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requerimiento de personal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área registra la necesidad de personal.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CU-02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Validar y corregir requerimiento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valida u observa; el área corrige y reenvía.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CU-03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Aprobar o rechazar requerimiento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La Dirección decide sobre el requerimiento validado; el rechazo se notifica.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CU-04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perfil y criterios del puesto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crea la vacante con perfil y criterios ponderados.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CU-05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Configurar y validar vacante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configura la convocatoria; el sistema valida.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CU-06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Publicar vacante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publica la vacante válida en el portal.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CU-07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Gestionar cuenta y acceso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postulante crea su cuenta e inicia sesión.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CU-08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Gestionar perfil y CV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postulante completa su perfil y carga su CV.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CU-09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postulación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postulante postula y recibe la confirmación.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CU-10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Consultar y revisar postulaciones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Revisa el listado por vacante y el expediente.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CU-11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preselección o descarte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preselecciona o descarta con motivo interno.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CU-12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Gestionar cambio de etapa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cambia la etapa; el postulante recibe el aviso.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CU-13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Programar evaluación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programa la evaluación; se envía la convocatoria.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CU-14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Programar entrevista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programa la entrevista; se envía la convocatoria.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CU-15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resultados de evaluación y entrevista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El evaluador asignado registra puntajes y resultado.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CU-16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Validar rangos y ponderaciones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Validación incluida por la configuración, el registro de resultados y el ranking.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CU-17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Consultar ranking y comparación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Ranking y comparación explicables. No selecciona.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CU-18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decisión final humana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Decisión humana</w:t>
            </w:r>
            <w:r>
              <w:rPr>
                <w:sz w:val="17"/>
                <w:szCs w:val="17"/>
              </w:rPr>
              <w:t xml:space="preserve"> del Aprobador / Dirección, con confirmación explícita y justificación. El ranking no elige.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CU-19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Registrar selección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aplica la decisión registrada.</w:t>
            </w:r>
          </w:p>
        </w:tc>
      </w:tr>
      <w:tr>
        <w:trPr>
          <w:cantSplit/>
        </w:trPr>
        <w:tc>
          <w:tcPr>
            <w:tcW w:w="739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CU-20</w:t>
            </w:r>
          </w:p>
        </w:tc>
        <w:tc>
          <w:tcPr>
            <w:tcW w:w="2711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Cerrar convocatoria y notificar resultado</w:t>
            </w:r>
          </w:p>
        </w:tc>
        <w:tc>
          <w:tcPr>
            <w:tcW w:w="4765" w:type="dxa"/>
          </w:tcPr>
          <w:p>
            <w:pPr>
              <w:spacing w:after="0" w:line="240" w:lineRule="auto"/>
              <w:jc w:val="left"/>
            </w:pPr>
            <w:r>
              <w:rPr>
                <w:sz w:val="17"/>
                <w:szCs w:val="17"/>
              </w:rPr>
              <w:t xml:space="preserve">RR. HH. cierra con selección; cada postulante recibe su resultado.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Relación actores-casos de uso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875"/>
        <w:gridCol w:w="5340"/>
      </w:tblGrid>
      <w:tr>
        <w:trPr>
          <w:cantSplit/>
          <w:tblHeader/>
        </w:trPr>
        <w:tc>
          <w:tcPr>
            <w:tcW w:w="287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Actor</w:t>
            </w:r>
          </w:p>
        </w:tc>
        <w:tc>
          <w:tcPr>
            <w:tcW w:w="534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Caso de uso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ACT-01 Área solicitante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CU-01, CU-02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ACT-02 Recursos Humanos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CU-02, CU-04, CU-05, CU-06, CU-10, CU-11, CU-12, CU-13, CU-14, CU-17, CU-19, CU-20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ACT-03 Aprobador / Dirección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CU-03, CU-10, CU-17, CU-18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ACT-04 Postulante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CU-07, CU-08, CU-09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ACT-05 Evaluador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CU-15</w:t>
            </w:r>
          </w:p>
        </w:tc>
      </w:tr>
      <w:tr>
        <w:trPr>
          <w:cantSplit/>
        </w:trPr>
        <w:tc>
          <w:tcPr>
            <w:tcW w:w="2875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— (caso incluido)</w:t>
            </w:r>
          </w:p>
        </w:tc>
        <w:tc>
          <w:tcPr>
            <w:tcW w:w="5340" w:type="dxa"/>
          </w:tcPr>
          <w:p>
            <w:pPr>
              <w:spacing w:after="0" w:line="240" w:lineRule="auto"/>
              <w:jc w:val="left"/>
            </w:pPr>
            <w:r>
              <w:rPr>
                <w:sz w:val="18"/>
                <w:szCs w:val="18"/>
              </w:rPr>
              <w:t xml:space="preserve">CU-16, incluido por CU-05, CU-15 y CU-17</w:t>
            </w:r>
          </w:p>
        </w:tc>
      </w:tr>
    </w:tbl>
    <w:p>
      <w:pPr>
        <w:spacing w:after="0"/>
        <w:ind w:left="284"/>
      </w:pP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Diagrama de casos de uso</w:t>
      </w:r>
    </w:p>
    <w:p>
      <w:pPr>
        <w:keepNext/>
        <w:spacing w:after="80"/>
        <w:ind w:left="284"/>
      </w:pPr>
      <w:r>
        <w:rPr>
          <w:i/>
          <w:iCs/>
          <w:color w:val="595959"/>
          <w:sz w:val="18"/>
          <w:szCs w:val="18"/>
        </w:rPr>
        <w:t xml:space="preserve">Insertar aquí el diagrama elaborado con herramienta UML.</w:t>
      </w:r>
    </w:p>
    <w:p>
      <w:pPr>
        <w:spacing w:after="100"/>
        <w:ind w:left="284"/>
      </w:pPr>
      <w:r>
        <w:t xml:space="preserve">Diagrama formal modelado en </w:t>
      </w:r>
      <w:r>
        <w:rPr>
          <w:b/>
          <w:bCs/>
        </w:rPr>
        <w:t xml:space="preserve">PowerDesigner 16.6</w:t>
      </w:r>
      <w:r>
        <w:t xml:space="preserve"> (Fase 29): diagrama «F8 - Casos de Uso Academicos» del modelo </w:t>
      </w:r>
      <w:r>
        <w:rPr>
          <w:rFonts w:ascii="Consolas" w:hAnsi="Consolas"/>
        </w:rPr>
        <w:t xml:space="preserve">F29_UML_Academico.oom</w:t>
      </w:r>
      <w:r>
        <w:t xml:space="preserve">, paquete F8. Cinco actores, CU-01 a CU-20 en cinco áreas funcionales y CU-16 incluido desde CU-05, CU-15 y CU-17. Las figuras 2 y 3 amplían sus dos mitades y no añaden contenido.</w:t>
      </w:r>
    </w:p>
    <w:p>
      <w:pPr>
        <w:spacing w:after="60"/>
        <w:jc w:val="center"/>
      </w:pPr>
      <w:r>
        <w:drawing>
          <wp:inline distT="0" distB="0" distL="0" distR="0">
            <wp:extent cx="5580000" cy="4583676"/>
            <wp:docPr id="101" name="F8_Casos_de_Uso_Academic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8_Casos_de_Uso_Academicos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583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1. Diagrama de casos de uso, vista académica (CU-01 a CU-20): exportación formal de PowerDesigner (F29), </w:t>
      </w:r>
      <w:r>
        <w:rPr>
          <w:rFonts w:ascii="Consolas" w:hAnsi="Consolas"/>
          <w:i/>
          <w:iCs/>
          <w:sz w:val="18"/>
          <w:szCs w:val="18"/>
        </w:rPr>
        <w:t xml:space="preserve">F8_Casos_de_Uso_Academicos.png</w:t>
      </w:r>
      <w:r>
        <w:rPr>
          <w:i/>
          <w:iCs/>
          <w:sz w:val="18"/>
          <w:szCs w:val="18"/>
        </w:rPr>
        <w:t xml:space="preserve">.</w:t>
      </w:r>
    </w:p>
    <w:p>
      <w:pPr>
        <w:spacing w:after="60"/>
        <w:jc w:val="center"/>
      </w:pPr>
      <w:r>
        <w:drawing>
          <wp:inline distT="0" distB="0" distL="0" distR="0">
            <wp:extent cx="5422572" cy="8100000"/>
            <wp:docPr id="102" name="F8_Casos_de_Uso_Academic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8_Casos_de_Uso_Academicos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2572" cy="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2. Ampliación de la figura 1 (franja del 0 % al 55 % del ancho): actores ACT-01, ACT-04 y ACT-05 y áreas A a E. Recorte sin retoque de la exportación formal.</w:t>
      </w:r>
    </w:p>
    <w:p>
      <w:pPr>
        <w:spacing w:after="60"/>
        <w:jc w:val="center"/>
      </w:pPr>
      <w:r>
        <w:drawing>
          <wp:inline distT="0" distB="0" distL="0" distR="0">
            <wp:extent cx="5425176" cy="8100000"/>
            <wp:docPr id="103" name="F8_Casos_de_Uso_Academic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8_Casos_de_Uso_Academicos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5176" cy="81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3. Ampliación de la figura 1 (franja del 45 % al 100 % del ancho): áreas A a E y actores ACT-02 y ACT-03. Recorte sin retoque de la exportación formal.</w:t>
      </w:r>
    </w:p>
    <w:p>
      <w:pPr>
        <w:spacing w:after="100"/>
        <w:ind w:left="284"/>
      </w:pPr>
      <w:r>
        <w:t xml:space="preserve">PowerDesigner señala CU-16 como caso sin actor directo (Check Model): es esperado, porque CU-16 es un caso incluido. CU-21 «Consultar auditoría» sigue </w:t>
      </w:r>
      <w:r>
        <w:rPr>
          <w:b/>
          <w:bCs/>
        </w:rPr>
        <w:t xml:space="preserve">DIFERIDO</w:t>
      </w:r>
      <w:r>
        <w:t xml:space="preserve"> y no aparece en el diagrama. El borrador de la F27B–F28 (</w:t>
      </w:r>
      <w:r>
        <w:rPr>
          <w:rFonts w:ascii="Consolas" w:hAnsi="Consolas"/>
        </w:rPr>
        <w:t xml:space="preserve">diagramas/draft/</w:t>
      </w:r>
      <w:r>
        <w:t xml:space="preserve">) queda como antecedente: DRAFT / SUPERSEDED BY F29 FORMAL EXPORT.</w:t>
      </w:r>
    </w:p>
    <w:p>
      <w:pPr>
        <w:spacing w:after="60"/>
        <w:jc w:val="center"/>
      </w:pPr>
      <w:r>
        <w:drawing>
          <wp:inline distT="0" distB="0" distL="0" distR="0">
            <wp:extent cx="5940000" cy="3914753"/>
            <wp:docPr id="104" name="UC-01-casos-de-us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UC-01-casos-de-uso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4. Referencia técnica: UC-01 de PowerDesigner (F23), un caso por RF. Exportación versionada, sin cambios.</w:t>
      </w:r>
    </w:p>
    <w:p>
      <w:pPr>
        <w:spacing w:after="100"/>
        <w:ind w:left="284"/>
      </w:pPr>
      <w:r>
        <w:t xml:space="preserve">No se modificó el OOM de la F23. Captura real de PowerDesigner, tomada con el modelo reabierto desde el disco:</w:t>
      </w:r>
    </w:p>
    <w:p>
      <w:pPr>
        <w:spacing w:after="60"/>
        <w:jc w:val="center"/>
      </w:pPr>
      <w:r>
        <w:drawing>
          <wp:inline distT="0" distB="0" distL="0" distR="0">
            <wp:extent cx="5759999" cy="3148322"/>
            <wp:docPr id="105" name="F8_Casos_de_Uso_PowerDesign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8_Casos_de_Uso_PowerDesigner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59999" cy="3148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5. Captura de PowerDesigner: diagrama «F8 - Casos de Uso Academicos» y paquete F8 en el Object Browser.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Relación con los requerimientos y correspondencia de vistas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971"/>
        <w:gridCol w:w="1314"/>
        <w:gridCol w:w="1643"/>
        <w:gridCol w:w="1068"/>
        <w:gridCol w:w="1068"/>
        <w:gridCol w:w="1150"/>
      </w:tblGrid>
      <w:tr>
        <w:trPr>
          <w:cantSplit/>
          <w:tblHeader/>
        </w:trPr>
        <w:tc>
          <w:tcPr>
            <w:tcW w:w="1971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CU académico (F9)</w:t>
            </w:r>
          </w:p>
        </w:tc>
        <w:tc>
          <w:tcPr>
            <w:tcW w:w="131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CU agrupado (v1.0)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UC-RF (F22/F23)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Actor</w:t>
            </w:r>
          </w:p>
        </w:tc>
        <w:tc>
          <w:tcPr>
            <w:tcW w:w="1068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RF</w:t>
            </w:r>
          </w:p>
        </w:tc>
        <w:tc>
          <w:tcPr>
            <w:tcW w:w="1150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Alcance (F9)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CU-01 Registrar requerimiento de personal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UC-RF01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ACT-01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RF-01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CU-02 Validar y corregir requerimiento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CU-01 (corregir) · CU-02 (validar)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ACT-01, 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RF-02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CU-03 Aprobar o rechazar requerimiento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UC-RF03, UC-RF04 «extend»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ACT-03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RF-03, RF-04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IN-01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CU-04 Registrar perfil y criterios del puesto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UC-RF05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RF-05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IN-02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CU-05 Configurar y validar vacante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UC-RF06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RF-06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IN-02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CU-06 Publicar vacante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UC-RF07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RF-07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IN-02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CU-07 Gestionar cuenta y acceso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UC-RF08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ACT-04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RF-08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IN-03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CU-08 Gestionar perfil y CV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UC-RF09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ACT-04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RF-09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IN-03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CU-09 Registrar postulación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CU-06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UC-RF10, UC-RF11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ACT-04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RF-10, RF-11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IN-03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CU-10 Consultar y revisar postulaciones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CU-07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ACT-02, ACT-03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RF-12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CU-11 Registrar preselección o descarte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CU-07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UC-RF13, UC-RF15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RF-13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CU-12 Gestionar cambio de etapa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CU-07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UC-RF14, UC-RF15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RF-14, RF-15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IN-04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CU-13 Programar evaluación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CU-08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UC-RF16, UC-RF17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RF-16, RF-17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CU-14 Programar entrevista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CU-08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UC-RF18, UC-RF17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RF-18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CU-15 Registrar resultados de evaluación y entrevista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CU-09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UC-RF19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ACT-05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RF-19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IN-05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CU-16 Validar rangos y ponderaciones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CU-04 · CU-09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UC-RF20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 (incluido)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RF-20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IN-06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CU-17 Consultar ranking y comparación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CU-10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UC-RF21, UC-RF22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ACT-02, ACT-03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RF-21, RF-22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IN-06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CU-18 Registrar decisión final humana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UC-RF23 «human decision»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ACT-03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RF-23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CU-19 Registrar selección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UC-RF24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RF-24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CU-20 Cerrar convocatoria y notificar resultado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UC-RF25, UC-RF26 «include»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ACT-02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RF-25, RF-26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IN-07</w:t>
            </w:r>
          </w:p>
        </w:tc>
      </w:tr>
      <w:tr>
        <w:trPr>
          <w:cantSplit/>
        </w:trPr>
        <w:tc>
          <w:tcPr>
            <w:tcW w:w="1971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— (transversal; fuera del catálogo CU-01..CU-20)</w:t>
            </w:r>
          </w:p>
        </w:tc>
        <w:tc>
          <w:tcPr>
            <w:tcW w:w="1314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CU-13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UC-RF27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Sistema (registro) · ACT-03 (consulta)</w:t>
            </w:r>
          </w:p>
        </w:tc>
        <w:tc>
          <w:tcPr>
            <w:tcW w:w="1068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RF-27</w:t>
            </w:r>
          </w:p>
        </w:tc>
        <w:tc>
          <w:tcPr>
            <w:tcW w:w="1150" w:type="dxa"/>
          </w:tcPr>
          <w:p>
            <w:pPr>
              <w:spacing w:after="0" w:line="240" w:lineRule="auto"/>
              <w:jc w:val="left"/>
            </w:pPr>
            <w:r>
              <w:rPr>
                <w:sz w:val="15"/>
                <w:szCs w:val="15"/>
              </w:rPr>
              <w:t xml:space="preserve">IN-08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RF-27: El F9 lo rotula «Incluido en CU-18»; desde la F27D se separa de RF-23 (decisión D-CU-04). RF-23 queda solo en CU-18 → UC-RF23.</w:t>
      </w:r>
    </w:p>
    <w:p>
      <w:pPr>
        <w:keepNext/>
        <w:spacing w:after="60"/>
        <w:ind w:left="284"/>
      </w:pPr>
      <w:r>
        <w:rPr>
          <w:b/>
          <w:bCs/>
        </w:rPr>
        <w:t xml:space="preserve">Los 13 CU agrupados de v1.0 (se conservan)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985"/>
        <w:gridCol w:w="3122"/>
        <w:gridCol w:w="2054"/>
        <w:gridCol w:w="2054"/>
      </w:tblGrid>
      <w:tr>
        <w:trPr>
          <w:cantSplit/>
          <w:tblHeader/>
        </w:trPr>
        <w:tc>
          <w:tcPr>
            <w:tcW w:w="985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CU (v1.0)</w:t>
            </w:r>
          </w:p>
        </w:tc>
        <w:tc>
          <w:tcPr>
            <w:tcW w:w="3122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Caso de uso</w:t>
            </w:r>
          </w:p>
        </w:tc>
        <w:tc>
          <w:tcPr>
            <w:tcW w:w="205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Actor</w:t>
            </w:r>
          </w:p>
        </w:tc>
        <w:tc>
          <w:tcPr>
            <w:tcW w:w="2054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RF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CU-01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Gestionar requerimiento de personal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Área solicitante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RF-01, RF-02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CU-02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Validar requerimiento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RF-02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CU-03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Aprobar o rechazar requerimiento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RF-03, RF-04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CU-04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Configurar y publicar vacante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RF-05, RF-06, RF-07, RF-20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CU-05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Registrarse y gestionar perfil/CV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RF-08, RF-09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CU-06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Postular a una vacante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Postulante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RF-10, RF-11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CU-07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Revisar postulaciones y gestionar etapas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RF-12, RF-13, RF-14, RF-15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CU-08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Programar evaluación o entrevista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RF-16, RF-17, RF-18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CU-09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resultados de evaluación/entrevista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Evaluador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RF-19, RF-20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CU-10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Consultar ranking y comparación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HH., Aprobador / Dirección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RF-21, RF-22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CU-11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decisión final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RF-23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CU-12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Registrar selección y cerrar convocatoria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RR. HH.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RF-24, RF-25, RF-26</w:t>
            </w:r>
          </w:p>
        </w:tc>
      </w:tr>
      <w:tr>
        <w:trPr>
          <w:cantSplit/>
        </w:trPr>
        <w:tc>
          <w:tcPr>
            <w:tcW w:w="985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CU-13</w:t>
            </w:r>
          </w:p>
        </w:tc>
        <w:tc>
          <w:tcPr>
            <w:tcW w:w="3122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Consultar auditoría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Aprobador / Dirección</w:t>
            </w:r>
          </w:p>
        </w:tc>
        <w:tc>
          <w:tcPr>
            <w:tcW w:w="2054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RF-27</w:t>
            </w:r>
          </w:p>
        </w:tc>
      </w:tr>
    </w:tbl>
    <w:p>
      <w:pPr>
        <w:spacing w:after="0"/>
        <w:ind w:left="284"/>
      </w:pPr>
    </w:p>
    <w:p>
      <w:pPr>
        <w:spacing w:after="100"/>
        <w:ind w:left="284"/>
      </w:pPr>
      <w:r>
        <w:t xml:space="preserve">Las tres vistas se conservan: 20 CU académicos (F9), 13 CU agrupados (informe v1.0) y 29 UC-RF técnicos (F22/F23, uno por RF, con UC-RF28 candidato y UC-RF29 experimental). No se renumera ninguna.</w:t>
      </w:r>
    </w:p>
    <w:p>
      <w:pPr>
        <w:pStyle w:val="Prrafodelista"/>
        <w:keepNext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Observaciones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903"/>
        <w:gridCol w:w="1643"/>
        <w:gridCol w:w="5669"/>
      </w:tblGrid>
      <w:tr>
        <w:trPr>
          <w:cantSplit/>
          <w:tblHeader/>
        </w:trPr>
        <w:tc>
          <w:tcPr>
            <w:tcW w:w="90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w="1643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Tema</w:t>
            </w:r>
          </w:p>
        </w:tc>
        <w:tc>
          <w:tcPr>
            <w:tcW w:w="5669" w:type="dxa"/>
            <w:shd w:val="clear" w:color="auto" w:fill="D9E2F3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O-F8-01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Nombres de CU-01 a CU-20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Resuelto (decisión del equipo, F27D).</w:t>
            </w:r>
            <w:r>
              <w:rPr>
                <w:sz w:val="16"/>
                <w:szCs w:val="16"/>
              </w:rPr>
              <w:t xml:space="preserve"> El F9 solo numeraba los CU; la F27B les asignó el nombre del RF principal que agrupan. El equipo aprobó los 20 CU, con CU-18 renombrado a «Registrar decisión final humana».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O-F8-02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Consulta de auditoría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b/>
                <w:bCs/>
                <w:sz w:val="16"/>
                <w:szCs w:val="16"/>
              </w:rPr>
              <w:t xml:space="preserve">CU-21 «Consultar auditoría»: DIFERIDO (decisión del equipo, F27D).</w:t>
            </w:r>
            <w:r>
              <w:rPr>
                <w:sz w:val="16"/>
                <w:szCs w:val="16"/>
              </w:rPr>
              <w:t xml:space="preserve"> No se añade al catálogo de esta versión. Consulta de auditoría vinculada a RF-27 y ACT-03; cubierta por la vista técnica UC-RF27 y fuera del catálogo académico CU-01..CU-20 de esta versión.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O-F8-03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CU-16 sin actor directo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Es un caso incluido («include») por CU-05, CU-15 y CU-17. Sus actores indirectos son RR. HH. (al configurar) y el Evaluador (al registrar). En UML es válido; no es un caso huérfano.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O-F8-04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CU-10 y el Aprobador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F9 asigna CU-10 solo a RR. HH. La implementación también permite la consulta del Aprobador / Dirección (UC-RF12), así que se asocian ambos. El F9 publicado no se modifica.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O-F8-05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Convocatoria de la entrevista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La entrevista también envía la convocatoria de RF-17 (UC-RF18 incluye UC-RF17), aunque el nombre del RF dice «evaluación».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O-F8-06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Antecedente superado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El diagrama de CU del F9 v1.0 (anexo B) mostraba al Administrador de la Organización, al Superadministrador SaaS, suscripciones y banco de talentos, que están fuera del alcance. La F24 lo sustituyó por UC-01 (D-04). Se conserva solo como antecedente.</w:t>
            </w:r>
          </w:p>
        </w:tc>
      </w:tr>
      <w:tr>
        <w:trPr>
          <w:cantSplit/>
        </w:trPr>
        <w:tc>
          <w:tcPr>
            <w:tcW w:w="90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O-F8-07</w:t>
            </w:r>
          </w:p>
        </w:tc>
        <w:tc>
          <w:tcPr>
            <w:tcW w:w="1643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Extensiones</w:t>
            </w:r>
          </w:p>
        </w:tc>
        <w:tc>
          <w:tcPr>
            <w:tcW w:w="5669" w:type="dxa"/>
          </w:tcPr>
          <w:p>
            <w:pPr>
              <w:spacing w:after="0" w:line="240" w:lineRule="auto"/>
              <w:jc w:val="left"/>
            </w:pPr>
            <w:r>
              <w:rPr>
                <w:sz w:val="16"/>
                <w:szCs w:val="16"/>
              </w:rPr>
              <w:t xml:space="preserve">RF-28 (candidato) y RF-29 (experimental) no forman parte de los 20 CU. Solo aparecen en la vista técnica UC-RF (UC-RF28 «propuesto v1.1», UC-RF29 «experimental»).</w:t>
            </w:r>
          </w:p>
        </w:tc>
      </w:tr>
    </w:tbl>
    <w:p>
      <w:pPr>
        <w:spacing w:after="0"/>
        <w:ind w:left="284"/>
      </w:pPr>
    </w:p>
    <w:p>
      <w:pPr>
        <w:spacing w:after="60"/>
        <w:jc w:val="center"/>
      </w:pPr>
      <w:r>
        <w:drawing>
          <wp:inline distT="0" distB="0" distL="0" distR="0">
            <wp:extent cx="5400000" cy="2923282"/>
            <wp:docPr id="106" name="antecedente-cu-f9-v1.0-anexo-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antecedente-cu-f9-v1.0-anexo-B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ind w:left="284"/>
        <w:jc w:val="center"/>
      </w:pPr>
      <w:r>
        <w:rPr>
          <w:i/>
          <w:iCs/>
          <w:sz w:val="18"/>
          <w:szCs w:val="18"/>
        </w:rPr>
        <w:t xml:space="preserve">Figura 6. Antecedente superado: diagrama de CU del F9 v1.0 (anexo B, copia sin modificar). Incluye actores fuera del alcance (O-F8-06).</w:t>
      </w:r>
    </w:p>
    <w:sectPr w:rsidR="00757272" w:rsidSect="00C77A65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87DCA" w14:textId="77777777" w:rsidR="00DD798E" w:rsidRDefault="00DD798E" w:rsidP="007A4B26">
      <w:pPr>
        <w:spacing w:after="0" w:line="240" w:lineRule="auto"/>
      </w:pPr>
      <w:r>
        <w:separator/>
      </w:r>
    </w:p>
  </w:endnote>
  <w:endnote w:type="continuationSeparator" w:id="0">
    <w:p w14:paraId="77B3C357" w14:textId="77777777" w:rsidR="00DD798E" w:rsidRDefault="00DD798E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5A0A83" w14:textId="77777777" w:rsidR="00DD798E" w:rsidRDefault="00DD798E" w:rsidP="007A4B26">
      <w:pPr>
        <w:spacing w:after="0" w:line="240" w:lineRule="auto"/>
      </w:pPr>
      <w:r>
        <w:separator/>
      </w:r>
    </w:p>
  </w:footnote>
  <w:footnote w:type="continuationSeparator" w:id="0">
    <w:p w14:paraId="521BA8E2" w14:textId="77777777" w:rsidR="00DD798E" w:rsidRDefault="00DD798E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A186C"/>
    <w:multiLevelType w:val="hybridMultilevel"/>
    <w:tmpl w:val="330A9642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D34F2C"/>
    <w:multiLevelType w:val="hybridMultilevel"/>
    <w:tmpl w:val="80720994"/>
    <w:lvl w:ilvl="0" w:tplc="28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7A6E1146"/>
    <w:multiLevelType w:val="hybridMultilevel"/>
    <w:tmpl w:val="B688F006"/>
    <w:lvl w:ilvl="0" w:tplc="74985704">
      <w:numFmt w:val="bullet"/>
      <w:lvlText w:val="-"/>
      <w:lvlJc w:val="left"/>
      <w:pPr>
        <w:ind w:left="644" w:hanging="360"/>
      </w:pPr>
      <w:rPr>
        <w:rFonts w:ascii="Century Gothic" w:eastAsiaTheme="minorHAnsi" w:hAnsi="Century Gothic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47B73"/>
    <w:rsid w:val="0058190E"/>
    <w:rsid w:val="005D07C1"/>
    <w:rsid w:val="007438E4"/>
    <w:rsid w:val="00757272"/>
    <w:rsid w:val="007A4B26"/>
    <w:rsid w:val="00880531"/>
    <w:rsid w:val="00935A68"/>
    <w:rsid w:val="009B1C80"/>
    <w:rsid w:val="00A04786"/>
    <w:rsid w:val="00A226CF"/>
    <w:rsid w:val="00B838D5"/>
    <w:rsid w:val="00C1637C"/>
    <w:rsid w:val="00C77A65"/>
    <w:rsid w:val="00C95537"/>
    <w:rsid w:val="00CC7CE9"/>
    <w:rsid w:val="00CD7768"/>
    <w:rsid w:val="00CE3ED3"/>
    <w:rsid w:val="00DB3D15"/>
    <w:rsid w:val="00DD2621"/>
    <w:rsid w:val="00DD5913"/>
    <w:rsid w:val="00DD798E"/>
    <w:rsid w:val="00E047A5"/>
    <w:rsid w:val="00E37272"/>
    <w:rsid w:val="00EE7DF9"/>
    <w:rsid w:val="00F6625E"/>
    <w:rsid w:val="00FF5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1" Type="http://schemas.openxmlformats.org/officeDocument/2006/relationships/image" Target="media/f27b_1.png"/><Relationship Id="rId102" Type="http://schemas.openxmlformats.org/officeDocument/2006/relationships/image" Target="media/f27b_2.png"/><Relationship Id="rId103" Type="http://schemas.openxmlformats.org/officeDocument/2006/relationships/image" Target="media/f27b_3.png"/><Relationship Id="rId104" Type="http://schemas.openxmlformats.org/officeDocument/2006/relationships/image" Target="media/f27b_4.png"/><Relationship Id="rId105" Type="http://schemas.openxmlformats.org/officeDocument/2006/relationships/image" Target="media/f27b_5.png"/><Relationship Id="rId106" Type="http://schemas.openxmlformats.org/officeDocument/2006/relationships/image" Target="media/f27b_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105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08 — Diagrama de casos de uso</dc:title>
  <dc:subject/>
  <dc:creator>Coronacion Meza Fredy; Peña Arroyo Anthony; Vila Meza Luis Antonio</dc:creator>
  <cp:keywords/>
  <dc:description/>
  <cp:lastModifiedBy>Equipo del proyecto</cp:lastModifiedBy>
  <cp:revision>9</cp:revision>
  <dcterms:created xsi:type="dcterms:W3CDTF">2026-03-16T06:30:00Z</dcterms:created>
  <dcterms:modified xsi:type="dcterms:W3CDTF">2026-04-08T16:15:00Z</dcterms:modified>
</cp:coreProperties>
</file>