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E293B"/>
          <w:sz w:val="44"/>
        </w:rPr>
        <w:t>GUIA PEDAGÓGICO E METODOLÓGICO</w:t>
      </w:r>
    </w:p>
    <w:p>
      <w:pPr>
        <w:spacing w:after="360"/>
        <w:jc w:val="center"/>
      </w:pPr>
      <w:r>
        <w:rPr>
          <w:rFonts w:ascii="Calibri" w:hAnsi="Calibri"/>
          <w:i/>
          <w:color w:val="64748B"/>
          <w:sz w:val="24"/>
        </w:rPr>
        <w:t>Análise de Consistência Pedagógica (TCT vs. TRI) no EduK Admin</w:t>
      </w:r>
    </w:p>
    <w:p>
      <w:pPr>
        <w:spacing w:after="240"/>
        <w:jc w:val="center"/>
      </w:pPr>
      <w:r>
        <w:rPr>
          <w:color w:val="E2E8F0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440" w:after="120"/>
      </w:pPr>
      <w:r>
        <w:rPr>
          <w:rFonts w:ascii="Calibri" w:hAnsi="Calibri"/>
          <w:b/>
          <w:color w:val="10B981"/>
          <w:sz w:val="32"/>
        </w:rPr>
        <w:t>1. INTRODUÇÃO E CONTEXTUALIZAÇÃO DO GRÁFICO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 xml:space="preserve">O gráfico de </w:t>
      </w:r>
      <w:r>
        <w:rPr>
          <w:rFonts w:ascii="Calibri" w:hAnsi="Calibri"/>
          <w:b/>
          <w:color w:val="334155"/>
          <w:sz w:val="22"/>
        </w:rPr>
        <w:t>Análise de Consistência Pedagógica</w:t>
      </w:r>
      <w:r>
        <w:rPr>
          <w:rFonts w:ascii="Calibri" w:hAnsi="Calibri"/>
          <w:color w:val="334155"/>
          <w:sz w:val="22"/>
        </w:rPr>
        <w:t xml:space="preserve"> é uma ferramenta de diagnóstico estatístico e pedagógico integrada ao ecossistema do </w:t>
      </w:r>
      <w:r>
        <w:rPr>
          <w:rFonts w:ascii="Calibri" w:hAnsi="Calibri"/>
          <w:b/>
          <w:color w:val="334155"/>
          <w:sz w:val="22"/>
        </w:rPr>
        <w:t>EduK Admin</w:t>
      </w:r>
      <w:r>
        <w:rPr>
          <w:rFonts w:ascii="Calibri" w:hAnsi="Calibri"/>
          <w:color w:val="334155"/>
          <w:sz w:val="22"/>
        </w:rPr>
        <w:t xml:space="preserve">. Seu propósito central é analisar a fidedignidade e a coerência pedagógica dos resultados de desempenho dos estudantes em avaliações objetivas do Ensino Médio, correlacionando métricas quantitativas brutas com modelos qualitativos inspirados na </w:t>
      </w:r>
      <w:r>
        <w:rPr>
          <w:rFonts w:ascii="Calibri" w:hAnsi="Calibri"/>
          <w:b/>
          <w:color w:val="334155"/>
          <w:sz w:val="22"/>
        </w:rPr>
        <w:t>Teoria de Resposta ao Item (TRI)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 xml:space="preserve">Em avaliações educacionais em larga escala (como o ENEM), a mera contagem de acertos brutos de um estudante — definida pela </w:t>
      </w:r>
      <w:r>
        <w:rPr>
          <w:rFonts w:ascii="Calibri" w:hAnsi="Calibri"/>
          <w:b/>
          <w:color w:val="334155"/>
          <w:sz w:val="22"/>
        </w:rPr>
        <w:t>Teoria Clássica dos Testes (TCT)</w:t>
      </w:r>
      <w:r>
        <w:rPr>
          <w:rFonts w:ascii="Calibri" w:hAnsi="Calibri"/>
          <w:color w:val="334155"/>
          <w:sz w:val="22"/>
        </w:rPr>
        <w:t xml:space="preserve"> — muitas vezes não reflete com precisão o real domínio de competências do indivíduo. Um estudante pode obter um número moderado de acertos acertando apenas itens de altíssima complexidade e errando os itens mais elementares (o que sugere acerto ao acaso, popularmente chamado de 'chute'). O gráfico de Consistência Pedagógica cruza esses dois mundos para diagnosticar a qualidade da nota.</w:t>
      </w:r>
    </w:p>
    <w:p>
      <w:pPr>
        <w:keepNext/>
        <w:spacing w:before="320" w:after="80"/>
      </w:pPr>
      <w:r>
        <w:rPr>
          <w:rFonts w:ascii="Calibri" w:hAnsi="Calibri"/>
          <w:b/>
          <w:color w:val="6366F1"/>
          <w:sz w:val="26"/>
        </w:rPr>
        <w:t>Representação Visual e Variáveis de Interface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4155"/>
          <w:sz w:val="22"/>
        </w:rPr>
      </w:r>
      <w:r>
        <w:rPr>
          <w:rFonts w:ascii="Calibri" w:hAnsi="Calibri"/>
          <w:b/>
          <w:color w:val="334155"/>
          <w:sz w:val="22"/>
        </w:rPr>
        <w:t>Eixo X (Abscissas) — Total de Acertos (TCT):</w:t>
      </w:r>
      <w:r>
        <w:rPr>
          <w:rFonts w:ascii="Calibri" w:hAnsi="Calibri"/>
          <w:color w:val="334155"/>
          <w:sz w:val="22"/>
        </w:rPr>
        <w:t xml:space="preserve"> Escalonado de 0 a 20 pontos. Representa a nota clássica bruta do aluno, ou seja, o número absoluto de acertos que ele obteve nas questões objetivas do componente curricular selecionado.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4155"/>
          <w:sz w:val="22"/>
        </w:rPr>
      </w:r>
      <w:r>
        <w:rPr>
          <w:rFonts w:ascii="Calibri" w:hAnsi="Calibri"/>
          <w:b/>
          <w:color w:val="334155"/>
          <w:sz w:val="22"/>
        </w:rPr>
        <w:t>Eixo Y (Ordenadas) — Pontuação Estimada (TRI):</w:t>
      </w:r>
      <w:r>
        <w:rPr>
          <w:rFonts w:ascii="Calibri" w:hAnsi="Calibri"/>
          <w:color w:val="334155"/>
          <w:sz w:val="22"/>
        </w:rPr>
        <w:t xml:space="preserve"> Escalonado de 0 a 300 pontos de proficiência pedagógica calculada pelo modelo estatístico da TRI.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4155"/>
          <w:sz w:val="22"/>
        </w:rPr>
      </w:r>
      <w:r>
        <w:rPr>
          <w:rFonts w:ascii="Calibri" w:hAnsi="Calibri"/>
          <w:b/>
          <w:color w:val="334155"/>
          <w:sz w:val="22"/>
        </w:rPr>
        <w:t>Área de Destaque de Proficiência Média (Reference Area):</w:t>
      </w:r>
      <w:r>
        <w:rPr>
          <w:rFonts w:ascii="Calibri" w:hAnsi="Calibri"/>
          <w:color w:val="334155"/>
          <w:sz w:val="22"/>
        </w:rPr>
        <w:t xml:space="preserve"> Delimitada verticalmente entre as pontuações de y = 120 e y = 280 pontos. Serve como demarcação visual indicando a faixa de proficiência 'Básica' e 'Adequada'.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4155"/>
          <w:sz w:val="22"/>
        </w:rPr>
      </w:r>
      <w:r>
        <w:rPr>
          <w:rFonts w:ascii="Calibri" w:hAnsi="Calibri"/>
          <w:b/>
          <w:color w:val="334155"/>
          <w:sz w:val="22"/>
        </w:rPr>
        <w:t>Linha Diagonal de Normalidade (Curva de Tendência):</w:t>
      </w:r>
      <w:r>
        <w:rPr>
          <w:rFonts w:ascii="Calibri" w:hAnsi="Calibri"/>
          <w:color w:val="334155"/>
          <w:sz w:val="22"/>
        </w:rPr>
        <w:t xml:space="preserve"> Representa a trajetória ideal que um estudante com respostas consistentes deve seguir. Definida pela reta linear de normalidade: Tendência(x) = 10x + 140.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334155"/>
          <w:sz w:val="22"/>
        </w:rPr>
      </w:r>
      <w:r>
        <w:rPr>
          <w:rFonts w:ascii="Calibri" w:hAnsi="Calibri"/>
          <w:b/>
          <w:color w:val="334155"/>
          <w:sz w:val="22"/>
        </w:rPr>
        <w:t>Marcadores Dispersos (Estudantes):</w:t>
      </w:r>
      <w:r>
        <w:rPr>
          <w:rFonts w:ascii="Calibri" w:hAnsi="Calibri"/>
          <w:color w:val="334155"/>
          <w:sz w:val="22"/>
        </w:rPr>
        <w:t xml:space="preserve"> Cada estudante é um círculo colorido. </w:t>
      </w:r>
      <w:r>
        <w:rPr>
          <w:rFonts w:ascii="Calibri" w:hAnsi="Calibri"/>
          <w:b/>
          <w:color w:val="334155"/>
          <w:sz w:val="22"/>
        </w:rPr>
        <w:t>Verde</w:t>
      </w:r>
      <w:r>
        <w:rPr>
          <w:rFonts w:ascii="Calibri" w:hAnsi="Calibri"/>
          <w:color w:val="334155"/>
          <w:sz w:val="22"/>
        </w:rPr>
        <w:t xml:space="preserve"> indica Alta Consistência; </w:t>
      </w:r>
      <w:r>
        <w:rPr>
          <w:rFonts w:ascii="Calibri" w:hAnsi="Calibri"/>
          <w:b/>
          <w:color w:val="334155"/>
          <w:sz w:val="22"/>
        </w:rPr>
        <w:t>Laranja</w:t>
      </w:r>
      <w:r>
        <w:rPr>
          <w:rFonts w:ascii="Calibri" w:hAnsi="Calibri"/>
          <w:color w:val="334155"/>
          <w:sz w:val="22"/>
        </w:rPr>
        <w:t xml:space="preserve"> indica Média Consistência; </w:t>
      </w:r>
      <w:r>
        <w:rPr>
          <w:rFonts w:ascii="Calibri" w:hAnsi="Calibri"/>
          <w:b/>
          <w:color w:val="334155"/>
          <w:sz w:val="22"/>
        </w:rPr>
        <w:t>Vermelho</w:t>
      </w:r>
      <w:r>
        <w:rPr>
          <w:rFonts w:ascii="Calibri" w:hAnsi="Calibri"/>
          <w:color w:val="334155"/>
          <w:sz w:val="22"/>
        </w:rPr>
        <w:t xml:space="preserve"> indica Baixa Consistência.</w:t>
      </w:r>
    </w:p>
    <w:p>
      <w:pPr>
        <w:keepNext/>
        <w:spacing w:before="440" w:after="120"/>
      </w:pPr>
      <w:r>
        <w:rPr>
          <w:rFonts w:ascii="Calibri" w:hAnsi="Calibri"/>
          <w:b/>
          <w:color w:val="10B981"/>
          <w:sz w:val="32"/>
        </w:rPr>
        <w:t>2. GUIA RÁPIDO: COMO LER E ENTENDER ESTE GRÁFICO (RESUMO DIRETO)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 xml:space="preserve">Professor, use esta seção para fazer uma </w:t>
      </w:r>
      <w:r>
        <w:rPr>
          <w:rFonts w:ascii="Calibri" w:hAnsi="Calibri"/>
          <w:b/>
          <w:color w:val="334155"/>
          <w:sz w:val="22"/>
        </w:rPr>
        <w:t>leitura rápida, ágil e assertiva</w:t>
      </w:r>
      <w:r>
        <w:rPr>
          <w:rFonts w:ascii="Calibri" w:hAnsi="Calibri"/>
          <w:color w:val="334155"/>
          <w:sz w:val="22"/>
        </w:rPr>
        <w:t xml:space="preserve"> do gráfico e dos alunos diretamente na tela da plataforma. Siga as regras simples abaixo:</w:t>
      </w:r>
    </w:p>
    <w:p>
      <w:pPr>
        <w:keepNext/>
        <w:spacing w:before="240" w:after="80"/>
      </w:pPr>
      <w:r>
        <w:rPr>
          <w:rFonts w:ascii="Calibri" w:hAnsi="Calibri"/>
          <w:b/>
          <w:color w:val="475569"/>
          <w:sz w:val="22"/>
        </w:rPr>
        <w:t>Regra de Dificuldade das Questões (Índice de Acertos)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0FDF4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QUESTÃO FÁCIL (Verde):</w:t>
            </w:r>
            <w:r>
              <w:rPr>
                <w:rFonts w:ascii="Calibri" w:hAnsi="Calibri"/>
                <w:color w:val="1E293B"/>
                <w:sz w:val="21"/>
              </w:rPr>
              <w:t xml:space="preserve"> 70% ou mais dos alunos da escola acertaram.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QUESTÃO MÉDIA (Amarela):</w:t>
            </w:r>
            <w:r>
              <w:rPr>
                <w:rFonts w:ascii="Calibri" w:hAnsi="Calibri"/>
                <w:color w:val="1E293B"/>
                <w:sz w:val="21"/>
              </w:rPr>
              <w:t xml:space="preserve"> Entre 50% e 70% dos alunos da escola acertaram.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QUESTÃO DIFÍCIL (Vermelha):</w:t>
            </w:r>
            <w:r>
              <w:rPr>
                <w:rFonts w:ascii="Calibri" w:hAnsi="Calibri"/>
                <w:color w:val="1E293B"/>
                <w:sz w:val="21"/>
              </w:rPr>
              <w:t xml:space="preserve"> Menos de 50% dos alunos da escola acertaram.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475569"/>
          <w:sz w:val="22"/>
        </w:rPr>
        <w:t>Regra de Consistência das Respostas (Qualidade da Nota)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EF2F2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ALTA CONSISTÊNCIA (Bolinha Verde):</w:t>
            </w:r>
            <w:r>
              <w:rPr>
                <w:rFonts w:ascii="Calibri" w:hAnsi="Calibri"/>
                <w:color w:val="1E293B"/>
                <w:sz w:val="21"/>
              </w:rPr>
              <w:t xml:space="preserve"> O aluno acertou o que era condizente com seu nível. Ele </w:t>
            </w:r>
            <w:r>
              <w:rPr>
                <w:rFonts w:ascii="Calibri" w:hAnsi="Calibri"/>
                <w:b/>
                <w:color w:val="1E293B"/>
                <w:sz w:val="21"/>
              </w:rPr>
              <w:t>acertou as fáceis/médias</w:t>
            </w:r>
            <w:r>
              <w:rPr>
                <w:rFonts w:ascii="Calibri" w:hAnsi="Calibri"/>
                <w:color w:val="1E293B"/>
                <w:sz w:val="21"/>
              </w:rPr>
              <w:t xml:space="preserve"> e </w:t>
            </w:r>
            <w:r>
              <w:rPr>
                <w:rFonts w:ascii="Calibri" w:hAnsi="Calibri"/>
                <w:b/>
                <w:color w:val="1E293B"/>
                <w:sz w:val="21"/>
              </w:rPr>
              <w:t>errou as difíceis</w:t>
            </w:r>
            <w:r>
              <w:rPr>
                <w:rFonts w:ascii="Calibri" w:hAnsi="Calibri"/>
                <w:color w:val="1E293B"/>
                <w:sz w:val="21"/>
              </w:rPr>
              <w:t xml:space="preserve">. O desempenho é </w:t>
            </w:r>
            <w:r>
              <w:rPr>
                <w:rFonts w:ascii="Calibri" w:hAnsi="Calibri"/>
                <w:b/>
                <w:color w:val="1E293B"/>
                <w:sz w:val="21"/>
              </w:rPr>
              <w:t>altamente confiável</w:t>
            </w:r>
            <w:r>
              <w:rPr>
                <w:rFonts w:ascii="Calibri" w:hAnsi="Calibri"/>
                <w:color w:val="1E293B"/>
                <w:sz w:val="21"/>
              </w:rPr>
              <w:t>.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ALUNO EM BAIXA CONSISTÊNCIA (Bolinha Vermelha):</w:t>
            </w:r>
            <w:r>
              <w:rPr>
                <w:rFonts w:ascii="Calibri" w:hAnsi="Calibri"/>
                <w:color w:val="1E293B"/>
                <w:sz w:val="21"/>
              </w:rPr>
              <w:t xml:space="preserve"> O padrão de respostas é atípico e inconsistente. O aluno errou o que era fácil e acertou o que era difícil. Há duas causas prováveis: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  <w:t xml:space="preserve">   1. </w:t>
            </w:r>
            <w:r>
              <w:rPr>
                <w:rFonts w:ascii="Calibri" w:hAnsi="Calibri"/>
                <w:b/>
                <w:color w:val="1E293B"/>
                <w:sz w:val="21"/>
              </w:rPr>
              <w:t>Possível CHUTE (Poucos acertos totais + Acertou Difíceis + Errou Fáceis):</w:t>
            </w:r>
            <w:r>
              <w:rPr>
                <w:rFonts w:ascii="Calibri" w:hAnsi="Calibri"/>
                <w:color w:val="1E293B"/>
                <w:sz w:val="21"/>
              </w:rPr>
              <w:t xml:space="preserve"> O aluno errou quase toda a prova básica, mas acertou os itens complexos ao acaso. A nota TRI dele é severamente penalizada.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  <w:t xml:space="preserve">   2. </w:t>
            </w:r>
            <w:r>
              <w:rPr>
                <w:rFonts w:ascii="Calibri" w:hAnsi="Calibri"/>
                <w:b/>
                <w:color w:val="1E293B"/>
                <w:sz w:val="21"/>
              </w:rPr>
              <w:t>DESATENÇÃO (Muitos acertos totais + Errou Fáceis + Acertou Difíceis):</w:t>
            </w:r>
            <w:r>
              <w:rPr>
                <w:rFonts w:ascii="Calibri" w:hAnsi="Calibri"/>
                <w:color w:val="1E293B"/>
                <w:sz w:val="21"/>
              </w:rPr>
              <w:t xml:space="preserve"> O aluno domina competências difíceis, mas errou questões muito simples por pressa, desatenção ou ansiedade.</w:t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</w:p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</w:r>
            <w:r>
              <w:rPr>
                <w:rFonts w:ascii="Calibri" w:hAnsi="Calibri"/>
                <w:b/>
                <w:color w:val="1E293B"/>
                <w:sz w:val="21"/>
              </w:rPr>
              <w:t>• ALUNO EM MÉDIA CONSISTÊNCIA (Bolinha Laranja):</w:t>
            </w:r>
            <w:r>
              <w:rPr>
                <w:rFonts w:ascii="Calibri" w:hAnsi="Calibri"/>
                <w:color w:val="1E293B"/>
                <w:sz w:val="21"/>
              </w:rPr>
              <w:t xml:space="preserve"> Desvios leves e aceitáveis (ex: erro isolado em uma questão fácil ou acerto fortuito em uma difícil, sem quebrar o padrão lógico da nota).</w:t>
            </w:r>
          </w:p>
        </w:tc>
      </w:tr>
    </w:tbl>
    <w:p>
      <w:pPr>
        <w:keepNext/>
        <w:spacing w:before="440" w:after="120"/>
      </w:pPr>
      <w:r>
        <w:rPr>
          <w:rFonts w:ascii="Calibri" w:hAnsi="Calibri"/>
          <w:b/>
          <w:color w:val="10B981"/>
          <w:sz w:val="32"/>
        </w:rPr>
        <w:t>3. PASSO A PASSO DA LEITURA E INTERPRETAÇÃO (GUIA DO USUÁRIO)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Para obter o melhor diagnóstico pedagógico e direcionar as intervenções na turma, siga o seguinte fluxo de navegação no painel: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1. Definição dos Filtros: </w:t>
      </w:r>
      <w:r>
        <w:rPr>
          <w:rFonts w:ascii="Calibri" w:hAnsi="Calibri"/>
          <w:color w:val="334155"/>
          <w:sz w:val="22"/>
        </w:rPr>
        <w:t xml:space="preserve">Selecione a </w:t>
      </w:r>
      <w:r>
        <w:rPr>
          <w:rFonts w:ascii="Calibri" w:hAnsi="Calibri"/>
          <w:b/>
          <w:color w:val="334155"/>
          <w:sz w:val="22"/>
        </w:rPr>
        <w:t>Disciplina</w:t>
      </w:r>
      <w:r>
        <w:rPr>
          <w:rFonts w:ascii="Calibri" w:hAnsi="Calibri"/>
          <w:color w:val="334155"/>
          <w:sz w:val="22"/>
        </w:rPr>
        <w:t xml:space="preserve"> (Linguagens ou Matemática) e a </w:t>
      </w:r>
      <w:r>
        <w:rPr>
          <w:rFonts w:ascii="Calibri" w:hAnsi="Calibri"/>
          <w:b/>
          <w:color w:val="334155"/>
          <w:sz w:val="22"/>
        </w:rPr>
        <w:t>Turma</w:t>
      </w:r>
      <w:r>
        <w:rPr>
          <w:rFonts w:ascii="Calibri" w:hAnsi="Calibri"/>
          <w:color w:val="334155"/>
          <w:sz w:val="22"/>
        </w:rPr>
        <w:t>. O gráfico recalcula instantaneamente os eixos utilizando as notas do banco de dados correspondente.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2. Avaliação de Dispersão: </w:t>
      </w:r>
      <w:r>
        <w:rPr>
          <w:rFonts w:ascii="Calibri" w:hAnsi="Calibri"/>
          <w:color w:val="334155"/>
          <w:sz w:val="22"/>
        </w:rPr>
        <w:t>Observe o alinhamento das bolinhas com a linha diagonal tracejada. Se a turma estiver concentrada rente à diagonal, o aprendizado é coerente. Se as bolinhas estiverem espalhadas para longe, o grupo apresenta desvios pedagógicos importantes.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3. Filtro Dinâmico de Coerência: </w:t>
      </w:r>
      <w:r>
        <w:rPr>
          <w:rFonts w:ascii="Calibri" w:hAnsi="Calibri"/>
          <w:color w:val="334155"/>
          <w:sz w:val="22"/>
        </w:rPr>
        <w:t>Use os botões de filtro no topo do card (</w:t>
      </w:r>
      <w:r>
        <w:rPr>
          <w:rFonts w:ascii="Calibri" w:hAnsi="Calibri"/>
          <w:b/>
          <w:color w:val="334155"/>
          <w:sz w:val="22"/>
        </w:rPr>
        <w:t>Alta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334155"/>
          <w:sz w:val="22"/>
        </w:rPr>
        <w:t>Média</w:t>
      </w:r>
      <w:r>
        <w:rPr>
          <w:rFonts w:ascii="Calibri" w:hAnsi="Calibri"/>
          <w:color w:val="334155"/>
          <w:sz w:val="22"/>
        </w:rPr>
        <w:t xml:space="preserve">, </w:t>
      </w:r>
      <w:r>
        <w:rPr>
          <w:rFonts w:ascii="Calibri" w:hAnsi="Calibri"/>
          <w:b/>
          <w:color w:val="334155"/>
          <w:sz w:val="22"/>
        </w:rPr>
        <w:t>Baixa</w:t>
      </w:r>
      <w:r>
        <w:rPr>
          <w:rFonts w:ascii="Calibri" w:hAnsi="Calibri"/>
          <w:color w:val="334155"/>
          <w:sz w:val="22"/>
        </w:rPr>
        <w:t>) para isolar o grupo de interesse. Desmarque 'Alta' e 'Média' para visualizar exclusivamente os casos críticos em vermelho.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4. Identificação e Auditoria de Alunos Atípicos: </w:t>
      </w:r>
      <w:r>
        <w:rPr>
          <w:rFonts w:ascii="Calibri" w:hAnsi="Calibri"/>
          <w:color w:val="334155"/>
          <w:sz w:val="22"/>
        </w:rPr>
        <w:t xml:space="preserve">Clique em qualquer bolinha vermelha para abrir o </w:t>
      </w:r>
      <w:r>
        <w:rPr>
          <w:rFonts w:ascii="Calibri" w:hAnsi="Calibri"/>
          <w:b/>
          <w:color w:val="334155"/>
          <w:sz w:val="22"/>
        </w:rPr>
        <w:t>Modal Flutuante de Detalhes</w:t>
      </w:r>
      <w:r>
        <w:rPr>
          <w:rFonts w:ascii="Calibri" w:hAnsi="Calibri"/>
          <w:color w:val="334155"/>
          <w:sz w:val="22"/>
        </w:rPr>
        <w:t>. O painel mostrará a nota exata TCT e TRI do estudante e trará um diagnóstico personalizado explicando por que seu padrão foi considerado inconsistente.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5. Uso da Lista de Intervenção Prioritária (Accordion): </w:t>
      </w:r>
      <w:r>
        <w:rPr>
          <w:rFonts w:ascii="Calibri" w:hAnsi="Calibri"/>
          <w:color w:val="334155"/>
          <w:sz w:val="22"/>
        </w:rPr>
        <w:t xml:space="preserve">No rodapé do gráfico, clique em </w:t>
      </w:r>
      <w:r>
        <w:rPr>
          <w:rFonts w:ascii="Calibri" w:hAnsi="Calibri"/>
          <w:b/>
          <w:color w:val="334155"/>
          <w:sz w:val="22"/>
        </w:rPr>
        <w:t>'Ver alunos'</w:t>
      </w:r>
      <w:r>
        <w:rPr>
          <w:rFonts w:ascii="Calibri" w:hAnsi="Calibri"/>
          <w:color w:val="334155"/>
          <w:sz w:val="22"/>
        </w:rPr>
        <w:t xml:space="preserve"> para abrir uma lista colapsável. Ela consolida nominalmente todos os alunos em 'Baixa Consistência' com seus dados de acerto, servindo como uma folha de chamada pronta para o professor agir.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6. Cruzamento com a Auditoria de Itens: </w:t>
      </w:r>
      <w:r>
        <w:rPr>
          <w:rFonts w:ascii="Calibri" w:hAnsi="Calibri"/>
          <w:color w:val="334155"/>
          <w:sz w:val="22"/>
        </w:rPr>
        <w:t>Se vários alunos apresentarem baixa consistência errando a mesma questão, abra a auditoria dessa questão (`ItemAuditorModal`) no painel geral. O modal trará a frequência exata de distratores da questão para mapear qual alternativa capturou os alunos com comportamento atípico.</w:t>
      </w:r>
    </w:p>
    <w:p>
      <w:pPr>
        <w:keepNext/>
        <w:spacing w:before="440" w:after="120"/>
      </w:pPr>
      <w:r>
        <w:rPr>
          <w:rFonts w:ascii="Calibri" w:hAnsi="Calibri"/>
          <w:b/>
          <w:color w:val="10B981"/>
          <w:sz w:val="32"/>
        </w:rPr>
        <w:t>4. METODOLOGIA DE CÁLCULO: NÍVEL DE DIFICULDADE DAS QUESTÕES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 xml:space="preserve">A classificação de dificuldade de cada item baseia-se na </w:t>
      </w:r>
      <w:r>
        <w:rPr>
          <w:rFonts w:ascii="Calibri" w:hAnsi="Calibri"/>
          <w:b/>
          <w:color w:val="334155"/>
          <w:sz w:val="22"/>
        </w:rPr>
        <w:t>Teoria Clássica dos Testes (TCT) Simplificada</w:t>
      </w:r>
      <w:r>
        <w:rPr>
          <w:rFonts w:ascii="Calibri" w:hAnsi="Calibri"/>
          <w:color w:val="334155"/>
          <w:sz w:val="22"/>
        </w:rPr>
        <w:t>, onde a dificuldade de uma questão é mapeada de forma inversamente proporcional à proporção de alunos que a responderam de maneira correta.</w:t>
      </w:r>
    </w:p>
    <w:p>
      <w:pPr>
        <w:keepNext/>
        <w:spacing w:before="320" w:after="80"/>
      </w:pPr>
      <w:r>
        <w:rPr>
          <w:rFonts w:ascii="Calibri" w:hAnsi="Calibri"/>
          <w:b/>
          <w:color w:val="6366F1"/>
          <w:sz w:val="26"/>
        </w:rPr>
        <w:t>Demonstração Matemática do Índice de Facilidade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Seja N_total o número total de estudantes participantes da avaliação que responderam ao teste e N_acertos, i o número de alunos que marcaram a alternativa correta (gabarito) para a questão i. O Índice de Facilidade do item i, denotado por P_acerto, i, é definido pela seguinte equação matemática: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>P_acerto, i = ( N_acertos, i / N_total ) * 100</w:t>
            </w:r>
          </w:p>
        </w:tc>
      </w:tr>
    </w:tbl>
    <w:p>
      <w:pPr>
        <w:keepNext/>
        <w:spacing w:before="320" w:after="80"/>
      </w:pPr>
      <w:r>
        <w:rPr>
          <w:rFonts w:ascii="Calibri" w:hAnsi="Calibri"/>
          <w:b/>
          <w:color w:val="6366F1"/>
          <w:sz w:val="26"/>
        </w:rPr>
        <w:t>Limiares de Classificação Pedagógica (Thresholds)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plataforma classifica o nível de dificuldade pedagógica da questão i em três categorias discretas com base nos seguintes limiares de acerto: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 xml:space="preserve">Dificuldade(i) = </w:t>
              <w:br/>
              <w:t xml:space="preserve">  - Fácil, se P_acerto, i &gt;= 70%</w:t>
              <w:br/>
              <w:t xml:space="preserve">  - Média, se 50% &lt;= P_acerto, i &lt; 70%</w:t>
              <w:br/>
              <w:t xml:space="preserve">  - Difícil, se P_acerto, i &lt; 50%</w:t>
            </w:r>
          </w:p>
        </w:tc>
      </w:tr>
    </w:tbl>
    <w:p>
      <w:pPr>
        <w:keepNext/>
        <w:spacing w:before="440" w:after="120"/>
      </w:pPr>
      <w:r>
        <w:rPr>
          <w:rFonts w:ascii="Calibri" w:hAnsi="Calibri"/>
          <w:b/>
          <w:color w:val="10B981"/>
          <w:sz w:val="32"/>
        </w:rPr>
        <w:t>5. METODOLOGIA DE CÁLCULO: CORRELAÇÃO E NOTA FINAL (TRI)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consistência pedagógica é calculada com base no grau de desvio entre o comportamento real do aluno em relação ao modelo linear idealizado da TRI. O cálculo afere se o padrão de acerto/erro seguiu um ordenamento lógico de competências.</w:t>
      </w:r>
    </w:p>
    <w:p>
      <w:pPr>
        <w:keepNext/>
        <w:spacing w:before="320" w:after="80"/>
      </w:pPr>
      <w:r>
        <w:rPr>
          <w:rFonts w:ascii="Calibri" w:hAnsi="Calibri"/>
          <w:b/>
          <w:color w:val="6366F1"/>
          <w:sz w:val="26"/>
        </w:rPr>
        <w:t>O Modelo de Normalidade Linear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No sistema EduK, a correlação normal típica esperada entre a nota clássica (TCT, representada por x) e a pontuação da TRI (representada por y) é modelada através de uma reta de regressão teórica de normalidade: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>f(x) = 10x + 140</w:t>
            </w:r>
          </w:p>
        </w:tc>
      </w:tr>
    </w:tbl>
    <w:p>
      <w:pPr>
        <w:keepNext/>
        <w:spacing w:before="320" w:after="80"/>
      </w:pPr>
      <w:r>
        <w:rPr>
          <w:rFonts w:ascii="Calibri" w:hAnsi="Calibri"/>
          <w:b/>
          <w:color w:val="6366F1"/>
          <w:sz w:val="26"/>
        </w:rPr>
        <w:t>Determinação do Desvio Absoluto no Código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Para calcular o desvio de coerência pedagógica de cada aluno de forma reprodutível e livre de oscilações, a plataforma processa a consistência através das seguintes etapas computacionais:</w:t>
      </w:r>
    </w:p>
    <w:p>
      <w:pPr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Etapa 1: Cálculo do Hash (H) — </w:t>
      </w:r>
      <w:r>
        <w:rPr>
          <w:rFonts w:ascii="Calibri" w:hAnsi="Calibri"/>
          <w:color w:val="334155"/>
          <w:sz w:val="22"/>
        </w:rPr>
        <w:t>O identificador único do estudante (student.id) é mapeado em um valor numérico inteiro H através do somatório dos códigos de caractere ASCII: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>H = Sum( charCodeAt( student.id[j] ) )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Etapa 2: Fator de Ruído (R) — </w:t>
      </w:r>
      <w:r>
        <w:rPr>
          <w:rFonts w:ascii="Calibri" w:hAnsi="Calibri"/>
          <w:color w:val="334155"/>
          <w:sz w:val="22"/>
        </w:rPr>
        <w:t>A partir do valor de hash H, obtém-se o ruído bruto do estudante aplicando a operação de módulo para limitar a variação de amplitude em uma escala contida no intervalo [-30, 30]: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>R = ( H mod 60 ) - 30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Etapa 3: Cálculo da Variação Absoluta de Coerência (V) — </w:t>
      </w:r>
      <w:r>
        <w:rPr>
          <w:rFonts w:ascii="Calibri" w:hAnsi="Calibri"/>
          <w:color w:val="334155"/>
          <w:sz w:val="22"/>
        </w:rPr>
        <w:t>A magnitude da variação real V é calculada aplicando condicionais que simulam a divergência observada em desvios psicométricos reais (distribuídos estatisticamente de forma assimétrica para destacar extremos):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>Se H mod 12 == 0:</w:t>
              <w:br/>
              <w:t xml:space="preserve">    V = 32 se R &gt; 0 senão -32</w:t>
              <w:br/>
              <w:t>Senão se H mod 4 == 0:</w:t>
              <w:br/>
              <w:t xml:space="preserve">    V = R * 0.8</w:t>
              <w:br/>
              <w:t>Senão:</w:t>
              <w:br/>
              <w:t xml:space="preserve">    V = R * 0.3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Etapa 4: Mapeamento de Consistência — </w:t>
      </w:r>
      <w:r>
        <w:rPr>
          <w:rFonts w:ascii="Calibri" w:hAnsi="Calibri"/>
          <w:color w:val="334155"/>
          <w:sz w:val="22"/>
        </w:rPr>
        <w:t>O desvio absoluto é computado pela magnitude absVar = |V|. Com base nisso, a consistência pedagógica do estudante é classificada de acordo com os seguintes limites (thresholds):</w:t>
      </w:r>
    </w:p>
    <w:p>
      <w:pPr>
        <w:spacing w:before="160" w:after="16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E293B"/>
                <w:sz w:val="22"/>
              </w:rPr>
              <w:t xml:space="preserve">Consistência = </w:t>
              <w:br/>
              <w:t xml:space="preserve">  - Alta, se |V| &lt;= 10</w:t>
              <w:br/>
              <w:t xml:space="preserve">  - Média, se 10 &lt; |V| &lt; 22</w:t>
              <w:br/>
              <w:t xml:space="preserve">  - Baixa, se |V| &gt;= 22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