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9B348" w14:textId="53DE35BA" w:rsidR="00E539C8" w:rsidRPr="00E539C8" w:rsidRDefault="00E255AE" w:rsidP="00E539C8">
      <w:pPr>
        <w:spacing w:line="360" w:lineRule="auto"/>
        <w:jc w:val="both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proofErr w:type="spellStart"/>
      <w:r w:rsidRPr="00E255AE">
        <w:rPr>
          <w:rFonts w:ascii="Times New Roman" w:hAnsi="Times New Roman" w:cs="Times New Roman"/>
          <w:sz w:val="20"/>
          <w:szCs w:val="20"/>
          <w:lang w:val="en-US"/>
        </w:rPr>
        <w:t>Projeto</w:t>
      </w:r>
      <w:proofErr w:type="spellEnd"/>
      <w:r w:rsidR="00E539C8" w:rsidRPr="00E255AE">
        <w:rPr>
          <w:rFonts w:ascii="Times New Roman" w:hAnsi="Times New Roman" w:cs="Times New Roman"/>
          <w:sz w:val="20"/>
          <w:szCs w:val="20"/>
          <w:lang w:val="en-US"/>
        </w:rPr>
        <w:t xml:space="preserve"> BanVic Bank</w:t>
      </w:r>
      <w:r w:rsidR="00E539C8" w:rsidRPr="00E539C8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- Indicium AI's Data Analytics Certification</w:t>
      </w:r>
      <w:r w:rsidR="00E539C8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–</w:t>
      </w:r>
      <w:r w:rsidR="00E539C8" w:rsidRPr="00E539C8">
        <w:rPr>
          <w:rFonts w:ascii="Times New Roman" w:hAnsi="Times New Roman" w:cs="Times New Roman"/>
          <w:sz w:val="20"/>
          <w:szCs w:val="20"/>
          <w:lang w:val="en-US"/>
        </w:rPr>
        <w:t xml:space="preserve"> Luiz Eduardo Ferreira</w:t>
      </w:r>
    </w:p>
    <w:p w14:paraId="2CBD1BAA" w14:textId="6E1B9AB6" w:rsidR="00E539C8" w:rsidRDefault="00E539C8" w:rsidP="009170AD">
      <w:pPr>
        <w:spacing w:line="360" w:lineRule="auto"/>
        <w:jc w:val="both"/>
        <w:rPr>
          <w:rFonts w:ascii="Times New Roman" w:hAnsi="Times New Roman" w:cs="Times New Roman"/>
          <w:i/>
          <w:iCs/>
          <w:sz w:val="20"/>
          <w:szCs w:val="20"/>
          <w:lang w:val="en-US"/>
        </w:rPr>
      </w:pPr>
      <w:r w:rsidRPr="00E255AE">
        <w:rPr>
          <w:rFonts w:ascii="Times New Roman" w:hAnsi="Times New Roman" w:cs="Times New Roman"/>
          <w:sz w:val="20"/>
          <w:szCs w:val="20"/>
          <w:lang w:val="en-US"/>
        </w:rPr>
        <w:t xml:space="preserve">Descrição e </w:t>
      </w:r>
      <w:r w:rsidRPr="00E255AE">
        <w:rPr>
          <w:rFonts w:ascii="Times New Roman" w:hAnsi="Times New Roman" w:cs="Times New Roman"/>
          <w:i/>
          <w:iCs/>
          <w:sz w:val="20"/>
          <w:szCs w:val="20"/>
          <w:lang w:val="en-US"/>
        </w:rPr>
        <w:t>Storytelling</w:t>
      </w:r>
      <w:r w:rsidR="00E255AE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="00E255AE" w:rsidRPr="00E255AE">
        <w:rPr>
          <w:rFonts w:ascii="Times New Roman" w:hAnsi="Times New Roman" w:cs="Times New Roman"/>
          <w:sz w:val="20"/>
          <w:szCs w:val="20"/>
          <w:lang w:val="en-US"/>
        </w:rPr>
        <w:t>do</w:t>
      </w:r>
      <w:r w:rsidR="00E255AE">
        <w:rPr>
          <w:rFonts w:ascii="Times New Roman" w:hAnsi="Times New Roman" w:cs="Times New Roman"/>
          <w:i/>
          <w:iCs/>
          <w:sz w:val="20"/>
          <w:szCs w:val="20"/>
          <w:lang w:val="en-US"/>
        </w:rPr>
        <w:t xml:space="preserve"> </w:t>
      </w:r>
      <w:r w:rsidR="00E255AE" w:rsidRPr="00E255AE">
        <w:rPr>
          <w:rFonts w:ascii="Times New Roman" w:hAnsi="Times New Roman" w:cs="Times New Roman"/>
          <w:i/>
          <w:iCs/>
          <w:sz w:val="20"/>
          <w:szCs w:val="20"/>
          <w:lang w:val="en-US"/>
        </w:rPr>
        <w:t>dashboard</w:t>
      </w:r>
      <w:r w:rsidRPr="00E255A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255AE">
        <w:rPr>
          <w:rFonts w:ascii="Times New Roman" w:hAnsi="Times New Roman" w:cs="Times New Roman"/>
          <w:sz w:val="20"/>
          <w:szCs w:val="20"/>
          <w:lang w:val="en-US"/>
        </w:rPr>
        <w:t>BanVic</w:t>
      </w:r>
      <w:r w:rsidR="00E255AE" w:rsidRPr="00E255AE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E255AE">
        <w:rPr>
          <w:rFonts w:ascii="Times New Roman" w:hAnsi="Times New Roman" w:cs="Times New Roman"/>
          <w:sz w:val="20"/>
          <w:szCs w:val="20"/>
          <w:lang w:val="en-US"/>
        </w:rPr>
        <w:t xml:space="preserve">- </w:t>
      </w:r>
      <w:r w:rsidR="00E255AE" w:rsidRPr="00E255AE">
        <w:rPr>
          <w:rFonts w:ascii="Times New Roman" w:hAnsi="Times New Roman" w:cs="Times New Roman"/>
          <w:i/>
          <w:iCs/>
          <w:sz w:val="20"/>
          <w:szCs w:val="20"/>
          <w:lang w:val="en-US"/>
        </w:rPr>
        <w:t>Commercial Performance Dashboard</w:t>
      </w:r>
    </w:p>
    <w:p w14:paraId="7A81A0BF" w14:textId="77777777" w:rsidR="004B3434" w:rsidRPr="00E255AE" w:rsidRDefault="004B3434" w:rsidP="009170AD">
      <w:pPr>
        <w:spacing w:line="360" w:lineRule="auto"/>
        <w:jc w:val="both"/>
        <w:rPr>
          <w:rFonts w:ascii="Times New Roman" w:hAnsi="Times New Roman" w:cs="Times New Roman"/>
          <w:sz w:val="20"/>
          <w:szCs w:val="20"/>
          <w:lang w:val="en-US"/>
        </w:rPr>
      </w:pPr>
    </w:p>
    <w:p w14:paraId="00DD7971" w14:textId="46A1F33C" w:rsidR="00E539C8" w:rsidRPr="00E255AE" w:rsidRDefault="00E539C8" w:rsidP="009170AD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255A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Descrição do dashboard </w:t>
      </w:r>
      <w:r w:rsidR="00E255AE" w:rsidRPr="00E255AE">
        <w:rPr>
          <w:rFonts w:ascii="Times New Roman" w:hAnsi="Times New Roman" w:cs="Times New Roman"/>
          <w:b/>
          <w:bCs/>
          <w:i/>
          <w:iCs/>
          <w:sz w:val="28"/>
          <w:szCs w:val="28"/>
        </w:rPr>
        <w:t>BanVic</w:t>
      </w:r>
    </w:p>
    <w:p w14:paraId="68280661" w14:textId="21C4426F" w:rsidR="004F06B8" w:rsidRPr="00E539C8" w:rsidRDefault="00E255AE" w:rsidP="00E539C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i/>
          <w:iCs/>
        </w:rPr>
      </w:pPr>
      <w:r w:rsidRPr="00E255AE">
        <w:rPr>
          <w:rFonts w:ascii="Times New Roman" w:hAnsi="Times New Roman" w:cs="Times New Roman"/>
          <w:b/>
          <w:bCs/>
        </w:rPr>
        <w:t xml:space="preserve">Regiões </w:t>
      </w:r>
      <w:r w:rsidR="004B3434">
        <w:rPr>
          <w:rFonts w:ascii="Times New Roman" w:hAnsi="Times New Roman" w:cs="Times New Roman"/>
          <w:b/>
          <w:bCs/>
        </w:rPr>
        <w:t xml:space="preserve">definidas no </w:t>
      </w:r>
      <w:r w:rsidR="004B3434" w:rsidRPr="004B3434">
        <w:rPr>
          <w:rFonts w:ascii="Times New Roman" w:hAnsi="Times New Roman" w:cs="Times New Roman"/>
          <w:b/>
          <w:bCs/>
          <w:i/>
          <w:iCs/>
        </w:rPr>
        <w:t>mockup</w:t>
      </w:r>
    </w:p>
    <w:p w14:paraId="20008F8D" w14:textId="165A9B93" w:rsidR="004F06B8" w:rsidRPr="004F06B8" w:rsidRDefault="004F06B8" w:rsidP="004F06B8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F06B8">
        <w:rPr>
          <w:rFonts w:ascii="Times New Roman" w:hAnsi="Times New Roman" w:cs="Times New Roman"/>
        </w:rPr>
        <w:t xml:space="preserve">O </w:t>
      </w:r>
      <w:r w:rsidR="00F534BA" w:rsidRPr="00F534BA">
        <w:rPr>
          <w:rFonts w:ascii="Times New Roman" w:hAnsi="Times New Roman" w:cs="Times New Roman"/>
          <w:i/>
          <w:iCs/>
        </w:rPr>
        <w:t>Mockup</w:t>
      </w:r>
      <w:r w:rsidR="00F534BA">
        <w:rPr>
          <w:rFonts w:ascii="Times New Roman" w:hAnsi="Times New Roman" w:cs="Times New Roman"/>
        </w:rPr>
        <w:t xml:space="preserve"> (Figura 1) do </w:t>
      </w:r>
      <w:r w:rsidR="00F534BA" w:rsidRPr="00F534BA">
        <w:rPr>
          <w:rFonts w:ascii="Times New Roman" w:hAnsi="Times New Roman" w:cs="Times New Roman"/>
          <w:i/>
          <w:iCs/>
        </w:rPr>
        <w:t>dashboard</w:t>
      </w:r>
      <w:r w:rsidRPr="004F06B8">
        <w:rPr>
          <w:rFonts w:ascii="Times New Roman" w:hAnsi="Times New Roman" w:cs="Times New Roman"/>
        </w:rPr>
        <w:t xml:space="preserve"> foi organizado em quatro regiões funcionais, permitindo uma leitura progressiva das informações</w:t>
      </w:r>
      <w:r w:rsidR="00F534BA">
        <w:rPr>
          <w:rFonts w:ascii="Times New Roman" w:hAnsi="Times New Roman" w:cs="Times New Roman"/>
        </w:rPr>
        <w:t xml:space="preserve"> atentando os pedidos do time comercial e CEO da BanVic</w:t>
      </w:r>
      <w:r w:rsidRPr="004F06B8">
        <w:rPr>
          <w:rFonts w:ascii="Times New Roman" w:hAnsi="Times New Roman" w:cs="Times New Roman"/>
        </w:rPr>
        <w:t xml:space="preserve">: </w:t>
      </w:r>
      <w:r w:rsidRPr="004F06B8">
        <w:rPr>
          <w:rFonts w:ascii="Times New Roman" w:hAnsi="Times New Roman" w:cs="Times New Roman"/>
          <w:b/>
          <w:bCs/>
          <w:color w:val="156082" w:themeColor="accent1"/>
        </w:rPr>
        <w:t>identificação</w:t>
      </w:r>
      <w:r w:rsidRPr="004F06B8">
        <w:rPr>
          <w:rFonts w:ascii="Times New Roman" w:hAnsi="Times New Roman" w:cs="Times New Roman"/>
          <w:color w:val="156082" w:themeColor="accent1"/>
        </w:rPr>
        <w:t xml:space="preserve"> </w:t>
      </w:r>
      <w:r w:rsidRPr="004F06B8">
        <w:rPr>
          <w:rFonts w:ascii="Times New Roman" w:hAnsi="Times New Roman" w:cs="Times New Roman"/>
        </w:rPr>
        <w:t xml:space="preserve">→ </w:t>
      </w:r>
      <w:r w:rsidRPr="004F06B8">
        <w:rPr>
          <w:rFonts w:ascii="Times New Roman" w:hAnsi="Times New Roman" w:cs="Times New Roman"/>
          <w:b/>
          <w:bCs/>
          <w:color w:val="E97132" w:themeColor="accent2"/>
        </w:rPr>
        <w:t>filtros</w:t>
      </w:r>
      <w:r w:rsidRPr="004F06B8">
        <w:rPr>
          <w:rFonts w:ascii="Times New Roman" w:hAnsi="Times New Roman" w:cs="Times New Roman"/>
          <w:color w:val="E97132" w:themeColor="accent2"/>
        </w:rPr>
        <w:t xml:space="preserve"> </w:t>
      </w:r>
      <w:r w:rsidRPr="004F06B8">
        <w:rPr>
          <w:rFonts w:ascii="Times New Roman" w:hAnsi="Times New Roman" w:cs="Times New Roman"/>
        </w:rPr>
        <w:t xml:space="preserve">→ </w:t>
      </w:r>
      <w:r w:rsidRPr="004F06B8">
        <w:rPr>
          <w:rFonts w:ascii="Times New Roman" w:hAnsi="Times New Roman" w:cs="Times New Roman"/>
          <w:b/>
          <w:bCs/>
          <w:color w:val="A02B93" w:themeColor="accent5"/>
        </w:rPr>
        <w:t>indicadores</w:t>
      </w:r>
      <w:r w:rsidR="004B6A64">
        <w:rPr>
          <w:rFonts w:ascii="Times New Roman" w:hAnsi="Times New Roman" w:cs="Times New Roman"/>
          <w:b/>
          <w:bCs/>
          <w:color w:val="A02B93" w:themeColor="accent5"/>
        </w:rPr>
        <w:t xml:space="preserve"> (KPIs)</w:t>
      </w:r>
      <w:r w:rsidRPr="004F06B8">
        <w:rPr>
          <w:rFonts w:ascii="Times New Roman" w:hAnsi="Times New Roman" w:cs="Times New Roman"/>
          <w:color w:val="A02B93" w:themeColor="accent5"/>
        </w:rPr>
        <w:t xml:space="preserve"> </w:t>
      </w:r>
      <w:r w:rsidRPr="004F06B8">
        <w:rPr>
          <w:rFonts w:ascii="Times New Roman" w:hAnsi="Times New Roman" w:cs="Times New Roman"/>
        </w:rPr>
        <w:t xml:space="preserve">→ </w:t>
      </w:r>
      <w:r w:rsidRPr="004F06B8">
        <w:rPr>
          <w:rFonts w:ascii="Times New Roman" w:hAnsi="Times New Roman" w:cs="Times New Roman"/>
          <w:b/>
          <w:bCs/>
          <w:color w:val="4EA72E" w:themeColor="accent6"/>
        </w:rPr>
        <w:t>análises detalhadas</w:t>
      </w:r>
      <w:r w:rsidR="004B6A64">
        <w:rPr>
          <w:rFonts w:ascii="Times New Roman" w:hAnsi="Times New Roman" w:cs="Times New Roman"/>
          <w:b/>
          <w:bCs/>
          <w:color w:val="4EA72E" w:themeColor="accent6"/>
        </w:rPr>
        <w:t xml:space="preserve"> (gráficas)</w:t>
      </w:r>
      <w:r w:rsidRPr="004F06B8">
        <w:rPr>
          <w:rFonts w:ascii="Times New Roman" w:hAnsi="Times New Roman" w:cs="Times New Roman"/>
        </w:rPr>
        <w:t>.</w:t>
      </w:r>
    </w:p>
    <w:p w14:paraId="071092CC" w14:textId="77777777" w:rsidR="004F06B8" w:rsidRPr="004F06B8" w:rsidRDefault="009170AD" w:rsidP="004F06B8">
      <w:pPr>
        <w:keepNext/>
        <w:spacing w:line="360" w:lineRule="auto"/>
        <w:jc w:val="both"/>
      </w:pPr>
      <w:r w:rsidRPr="004F06B8">
        <w:rPr>
          <w:rFonts w:ascii="Times New Roman" w:hAnsi="Times New Roman" w:cs="Times New Roman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10C873D7" wp14:editId="06280BB8">
                <wp:simplePos x="0" y="0"/>
                <wp:positionH relativeFrom="column">
                  <wp:posOffset>-3810</wp:posOffset>
                </wp:positionH>
                <wp:positionV relativeFrom="paragraph">
                  <wp:posOffset>19050</wp:posOffset>
                </wp:positionV>
                <wp:extent cx="5409565" cy="3619500"/>
                <wp:effectExtent l="38100" t="38100" r="38735" b="38100"/>
                <wp:wrapNone/>
                <wp:docPr id="699947237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09565" cy="3619500"/>
                          <a:chOff x="0" y="0"/>
                          <a:chExt cx="5409565" cy="3619500"/>
                        </a:xfrm>
                      </wpg:grpSpPr>
                      <wps:wsp>
                        <wps:cNvPr id="1491754968" name="Rectangle 1"/>
                        <wps:cNvSpPr/>
                        <wps:spPr>
                          <a:xfrm>
                            <a:off x="0" y="0"/>
                            <a:ext cx="5409565" cy="323850"/>
                          </a:xfrm>
                          <a:prstGeom prst="rect">
                            <a:avLst/>
                          </a:prstGeom>
                          <a:noFill/>
                          <a:ln w="76200"/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4411031" name="Rectangle 1"/>
                        <wps:cNvSpPr/>
                        <wps:spPr>
                          <a:xfrm>
                            <a:off x="0" y="400050"/>
                            <a:ext cx="5409565" cy="600075"/>
                          </a:xfrm>
                          <a:prstGeom prst="rect">
                            <a:avLst/>
                          </a:prstGeom>
                          <a:noFill/>
                          <a:ln w="76200">
                            <a:solidFill>
                              <a:schemeClr val="accent2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2634343" name="Rectangle 1"/>
                        <wps:cNvSpPr/>
                        <wps:spPr>
                          <a:xfrm>
                            <a:off x="0" y="1066800"/>
                            <a:ext cx="5409565" cy="723900"/>
                          </a:xfrm>
                          <a:prstGeom prst="rect">
                            <a:avLst/>
                          </a:prstGeom>
                          <a:noFill/>
                          <a:ln w="76200">
                            <a:solidFill>
                              <a:schemeClr val="accent5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19801036" name="Rectangle 1"/>
                        <wps:cNvSpPr/>
                        <wps:spPr>
                          <a:xfrm>
                            <a:off x="0" y="1838325"/>
                            <a:ext cx="5409565" cy="1781175"/>
                          </a:xfrm>
                          <a:prstGeom prst="rect">
                            <a:avLst/>
                          </a:prstGeom>
                          <a:noFill/>
                          <a:ln w="76200">
                            <a:solidFill>
                              <a:schemeClr val="accent3"/>
                            </a:solidFill>
                          </a:ln>
                        </wps:spPr>
                        <wps:style>
                          <a:lnRef idx="2">
                            <a:schemeClr val="accent1"/>
                          </a:lnRef>
                          <a:fillRef idx="1">
                            <a:schemeClr val="l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2103E10" id="Group 2" o:spid="_x0000_s1026" style="position:absolute;margin-left:-.3pt;margin-top:1.5pt;width:425.95pt;height:285pt;z-index:251665408" coordsize="54095,361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">
                <v:rect id="Rectangle 1" o:spid="_x0000_s1027" style="position:absolute;width:54095;height:323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" filled="f" strokecolor="#156082 [3204]" strokeweight="6pt"/>
                <v:rect id="Rectangle 1" o:spid="_x0000_s1028" style="position:absolute;top:4000;width:54095;height:600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" filled="f" strokecolor="#e97132 [3205]" strokeweight="6pt"/>
                <v:rect id="Rectangle 1" o:spid="_x0000_s1029" style="position:absolute;top:10668;width:54095;height:723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" filled="f" strokecolor="#a02b93 [3208]" strokeweight="6pt"/>
                <v:rect id="Rectangle 1" o:spid="_x0000_s1030" style="position:absolute;top:18383;width:54095;height:1781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" filled="f" strokecolor="#196b24 [3206]" strokeweight="6pt"/>
              </v:group>
            </w:pict>
          </mc:Fallback>
        </mc:AlternateContent>
      </w:r>
      <w:r w:rsidRPr="004F06B8">
        <w:rPr>
          <w:rFonts w:ascii="Times New Roman" w:hAnsi="Times New Roman" w:cs="Times New Roman"/>
          <w:b/>
          <w:bCs/>
        </w:rPr>
        <w:drawing>
          <wp:inline distT="0" distB="0" distL="0" distR="0" wp14:anchorId="5BFD1ABE" wp14:editId="5BA65354">
            <wp:extent cx="5400040" cy="3660140"/>
            <wp:effectExtent l="0" t="0" r="0" b="0"/>
            <wp:docPr id="1746526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5264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76737" w14:textId="590F69F1" w:rsidR="004B3434" w:rsidRPr="004B3434" w:rsidRDefault="004F06B8" w:rsidP="004B3434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4F06B8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Figura </w:t>
      </w:r>
      <w:r w:rsidRPr="004F06B8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</w:r>
      <w:r w:rsidRPr="004F06B8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instrText xml:space="preserve"> SEQ Figura \* ARABIC </w:instrText>
      </w:r>
      <w:r w:rsidRPr="004F06B8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fldChar w:fldCharType="separate"/>
      </w:r>
      <w:r w:rsidR="004B6A64">
        <w:rPr>
          <w:rFonts w:ascii="Times New Roman" w:hAnsi="Times New Roman" w:cs="Times New Roman"/>
          <w:i w:val="0"/>
          <w:iCs w:val="0"/>
          <w:noProof/>
          <w:color w:val="000000" w:themeColor="text1"/>
          <w:sz w:val="20"/>
          <w:szCs w:val="20"/>
        </w:rPr>
        <w:t>1</w:t>
      </w:r>
      <w:r w:rsidRPr="004F06B8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 w:rsidRPr="004F06B8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- </w:t>
      </w:r>
      <w:r w:rsidRPr="004B6A64">
        <w:rPr>
          <w:rFonts w:ascii="Times New Roman" w:hAnsi="Times New Roman" w:cs="Times New Roman"/>
          <w:color w:val="000000" w:themeColor="text1"/>
          <w:sz w:val="20"/>
          <w:szCs w:val="20"/>
        </w:rPr>
        <w:t>Mockup</w:t>
      </w:r>
      <w:r w:rsidRPr="004F06B8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do dashboard separado por regiões</w:t>
      </w:r>
    </w:p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327"/>
        <w:gridCol w:w="1484"/>
        <w:gridCol w:w="2372"/>
        <w:gridCol w:w="3311"/>
      </w:tblGrid>
      <w:tr w:rsidR="004F06B8" w:rsidRPr="004F06B8" w14:paraId="0AF941B5" w14:textId="77777777" w:rsidTr="004F06B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A66977" w14:textId="6741D0A3" w:rsidR="004F06B8" w:rsidRPr="004B6A64" w:rsidRDefault="004F06B8" w:rsidP="004F06B8">
            <w:pPr>
              <w:spacing w:after="160" w:line="36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4B6A64">
              <w:rPr>
                <w:rFonts w:ascii="Times New Roman" w:hAnsi="Times New Roman" w:cs="Times New Roman"/>
                <w:sz w:val="20"/>
                <w:szCs w:val="20"/>
              </w:rPr>
              <w:t>Identificação</w:t>
            </w:r>
          </w:p>
        </w:tc>
        <w:tc>
          <w:tcPr>
            <w:tcW w:w="0" w:type="auto"/>
            <w:hideMark/>
          </w:tcPr>
          <w:p w14:paraId="2028BD12" w14:textId="77777777" w:rsidR="004F06B8" w:rsidRPr="004B6A64" w:rsidRDefault="004F06B8" w:rsidP="004F06B8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6A64">
              <w:rPr>
                <w:rFonts w:ascii="Times New Roman" w:hAnsi="Times New Roman" w:cs="Times New Roman"/>
                <w:sz w:val="20"/>
                <w:szCs w:val="20"/>
              </w:rPr>
              <w:t>Região</w:t>
            </w:r>
          </w:p>
        </w:tc>
        <w:tc>
          <w:tcPr>
            <w:tcW w:w="0" w:type="auto"/>
            <w:hideMark/>
          </w:tcPr>
          <w:p w14:paraId="55EA0FEA" w14:textId="77777777" w:rsidR="004F06B8" w:rsidRPr="004B6A64" w:rsidRDefault="004F06B8" w:rsidP="004F06B8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6A64">
              <w:rPr>
                <w:rFonts w:ascii="Times New Roman" w:hAnsi="Times New Roman" w:cs="Times New Roman"/>
                <w:sz w:val="20"/>
                <w:szCs w:val="20"/>
              </w:rPr>
              <w:t>Elementos</w:t>
            </w:r>
          </w:p>
        </w:tc>
        <w:tc>
          <w:tcPr>
            <w:tcW w:w="0" w:type="auto"/>
            <w:hideMark/>
          </w:tcPr>
          <w:p w14:paraId="0F715C94" w14:textId="77777777" w:rsidR="004F06B8" w:rsidRPr="004B6A64" w:rsidRDefault="004F06B8" w:rsidP="004F06B8">
            <w:pPr>
              <w:spacing w:after="160"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6A64">
              <w:rPr>
                <w:rFonts w:ascii="Times New Roman" w:hAnsi="Times New Roman" w:cs="Times New Roman"/>
                <w:sz w:val="20"/>
                <w:szCs w:val="20"/>
              </w:rPr>
              <w:t>Finalidade</w:t>
            </w:r>
          </w:p>
        </w:tc>
      </w:tr>
      <w:tr w:rsidR="004F06B8" w:rsidRPr="004F06B8" w14:paraId="4B81D6D0" w14:textId="77777777" w:rsidTr="004F0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5A691D" w14:textId="77777777" w:rsidR="004F06B8" w:rsidRPr="004F06B8" w:rsidRDefault="004F06B8" w:rsidP="004F06B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F06B8">
              <w:rPr>
                <w:rFonts w:ascii="Segoe UI Emoji" w:hAnsi="Segoe UI Emoji" w:cs="Segoe UI Emoji"/>
                <w:sz w:val="20"/>
                <w:szCs w:val="20"/>
              </w:rPr>
              <w:t>🔵</w:t>
            </w:r>
            <w:r w:rsidRPr="004F06B8">
              <w:rPr>
                <w:rFonts w:ascii="Times New Roman" w:hAnsi="Times New Roman" w:cs="Times New Roman"/>
                <w:sz w:val="20"/>
                <w:szCs w:val="20"/>
              </w:rPr>
              <w:t xml:space="preserve"> 1</w:t>
            </w:r>
          </w:p>
        </w:tc>
        <w:tc>
          <w:tcPr>
            <w:tcW w:w="0" w:type="auto"/>
            <w:hideMark/>
          </w:tcPr>
          <w:p w14:paraId="027F4565" w14:textId="5C20848F" w:rsidR="004F06B8" w:rsidRPr="004B6A64" w:rsidRDefault="004F06B8" w:rsidP="004F06B8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Header</w:t>
            </w:r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/ </w:t>
            </w:r>
            <w:proofErr w:type="spellStart"/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Identification</w:t>
            </w:r>
            <w:proofErr w:type="spellEnd"/>
          </w:p>
        </w:tc>
        <w:tc>
          <w:tcPr>
            <w:tcW w:w="0" w:type="auto"/>
            <w:hideMark/>
          </w:tcPr>
          <w:p w14:paraId="6795EE95" w14:textId="09F7B7A3" w:rsidR="004F06B8" w:rsidRPr="004F06B8" w:rsidRDefault="004F06B8" w:rsidP="004F06B8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F06B8">
              <w:rPr>
                <w:rFonts w:ascii="Times New Roman" w:hAnsi="Times New Roman" w:cs="Times New Roman"/>
                <w:sz w:val="20"/>
                <w:szCs w:val="20"/>
              </w:rPr>
              <w:t xml:space="preserve">Logo BanVic, título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“</w:t>
            </w:r>
            <w:r w:rsidRPr="004F06B8">
              <w:rPr>
                <w:rFonts w:ascii="Times New Roman" w:hAnsi="Times New Roman" w:cs="Times New Roman"/>
                <w:sz w:val="20"/>
                <w:szCs w:val="20"/>
              </w:rPr>
              <w:t>Commercial Performance Dashboard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”</w:t>
            </w:r>
            <w:r w:rsidRPr="004F06B8">
              <w:rPr>
                <w:rFonts w:ascii="Times New Roman" w:hAnsi="Times New Roman" w:cs="Times New Roman"/>
                <w:sz w:val="20"/>
                <w:szCs w:val="20"/>
              </w:rPr>
              <w:t xml:space="preserve"> e data da última atualização</w:t>
            </w:r>
          </w:p>
        </w:tc>
        <w:tc>
          <w:tcPr>
            <w:tcW w:w="0" w:type="auto"/>
            <w:hideMark/>
          </w:tcPr>
          <w:p w14:paraId="7DEEC17D" w14:textId="77777777" w:rsidR="004F06B8" w:rsidRPr="004F06B8" w:rsidRDefault="004F06B8" w:rsidP="004F06B8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F06B8">
              <w:rPr>
                <w:rFonts w:ascii="Times New Roman" w:hAnsi="Times New Roman" w:cs="Times New Roman"/>
                <w:sz w:val="20"/>
                <w:szCs w:val="20"/>
              </w:rPr>
              <w:t>Identificar o dashboard e informar ao usuário a referência de atualização dos dados apresentados.</w:t>
            </w:r>
          </w:p>
        </w:tc>
      </w:tr>
      <w:tr w:rsidR="004F06B8" w:rsidRPr="004F06B8" w14:paraId="74655BF7" w14:textId="77777777" w:rsidTr="004F06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1AD3E3" w14:textId="77777777" w:rsidR="004F06B8" w:rsidRPr="004F06B8" w:rsidRDefault="004F06B8" w:rsidP="004F06B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F06B8">
              <w:rPr>
                <w:rFonts w:ascii="Segoe UI Emoji" w:hAnsi="Segoe UI Emoji" w:cs="Segoe UI Emoji"/>
                <w:sz w:val="20"/>
                <w:szCs w:val="20"/>
              </w:rPr>
              <w:t>🟠</w:t>
            </w:r>
            <w:r w:rsidRPr="004F06B8">
              <w:rPr>
                <w:rFonts w:ascii="Times New Roman" w:hAnsi="Times New Roman" w:cs="Times New Roman"/>
                <w:sz w:val="20"/>
                <w:szCs w:val="20"/>
              </w:rPr>
              <w:t xml:space="preserve"> 2</w:t>
            </w:r>
          </w:p>
        </w:tc>
        <w:tc>
          <w:tcPr>
            <w:tcW w:w="0" w:type="auto"/>
            <w:hideMark/>
          </w:tcPr>
          <w:p w14:paraId="533F7BA3" w14:textId="77777777" w:rsidR="004F06B8" w:rsidRPr="004B6A64" w:rsidRDefault="004F06B8" w:rsidP="004F06B8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Filters</w:t>
            </w:r>
            <w:proofErr w:type="spellEnd"/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/ </w:t>
            </w:r>
            <w:proofErr w:type="spellStart"/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Navigation</w:t>
            </w:r>
            <w:proofErr w:type="spellEnd"/>
          </w:p>
        </w:tc>
        <w:tc>
          <w:tcPr>
            <w:tcW w:w="0" w:type="auto"/>
            <w:hideMark/>
          </w:tcPr>
          <w:p w14:paraId="457703B1" w14:textId="4E56A771" w:rsidR="004F06B8" w:rsidRPr="004F06B8" w:rsidRDefault="004F06B8" w:rsidP="004F06B8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Year/Month</w:t>
            </w:r>
            <w:r w:rsidRPr="004F06B8">
              <w:rPr>
                <w:rFonts w:ascii="Times New Roman" w:hAnsi="Times New Roman" w:cs="Times New Roman"/>
                <w:sz w:val="20"/>
                <w:szCs w:val="20"/>
              </w:rPr>
              <w:t xml:space="preserve"> (por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transações/contas</w:t>
            </w:r>
            <w:r w:rsidRPr="004F06B8">
              <w:rPr>
                <w:rFonts w:ascii="Times New Roman" w:hAnsi="Times New Roman" w:cs="Times New Roman"/>
                <w:sz w:val="20"/>
                <w:szCs w:val="20"/>
              </w:rPr>
              <w:t xml:space="preserve"> e por </w:t>
            </w:r>
            <w:r w:rsidRPr="004F06B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proposta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s</w:t>
            </w:r>
            <w:r w:rsidRPr="004F06B8">
              <w:rPr>
                <w:rFonts w:ascii="Times New Roman" w:hAnsi="Times New Roman" w:cs="Times New Roman"/>
                <w:sz w:val="20"/>
                <w:szCs w:val="20"/>
              </w:rPr>
              <w:t xml:space="preserve"> de crédito)</w:t>
            </w:r>
            <w:r w:rsidRPr="004F06B8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Branch </w:t>
            </w:r>
            <w:proofErr w:type="spellStart"/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Type</w:t>
            </w:r>
            <w:proofErr w:type="spellEnd"/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, Branch Name</w:t>
            </w:r>
            <w:r w:rsidRPr="004F06B8">
              <w:rPr>
                <w:rFonts w:ascii="Times New Roman" w:hAnsi="Times New Roman" w:cs="Times New Roman"/>
                <w:sz w:val="20"/>
                <w:szCs w:val="20"/>
              </w:rPr>
              <w:t xml:space="preserve"> e </w:t>
            </w:r>
            <w:proofErr w:type="spellStart"/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Transaction</w:t>
            </w:r>
            <w:proofErr w:type="spellEnd"/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Name</w:t>
            </w:r>
          </w:p>
        </w:tc>
        <w:tc>
          <w:tcPr>
            <w:tcW w:w="0" w:type="auto"/>
            <w:hideMark/>
          </w:tcPr>
          <w:p w14:paraId="01D57139" w14:textId="77777777" w:rsidR="004F06B8" w:rsidRPr="004F06B8" w:rsidRDefault="004F06B8" w:rsidP="004F06B8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F06B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 xml:space="preserve">Permitir a segmentação dinâmica das análises por período, canal/agência e </w:t>
            </w:r>
            <w:r w:rsidRPr="004F06B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tipo de transação. Os filtros são aplicados aos indicadores e visualizações relacionados.</w:t>
            </w:r>
          </w:p>
        </w:tc>
      </w:tr>
      <w:tr w:rsidR="004F06B8" w:rsidRPr="004F06B8" w14:paraId="4ADC9DE8" w14:textId="77777777" w:rsidTr="004F06B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85FEC7" w14:textId="77777777" w:rsidR="004F06B8" w:rsidRPr="004F06B8" w:rsidRDefault="004F06B8" w:rsidP="004F06B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F06B8">
              <w:rPr>
                <w:rFonts w:ascii="Segoe UI Emoji" w:hAnsi="Segoe UI Emoji" w:cs="Segoe UI Emoji"/>
                <w:sz w:val="20"/>
                <w:szCs w:val="20"/>
              </w:rPr>
              <w:lastRenderedPageBreak/>
              <w:t>🟣</w:t>
            </w:r>
            <w:r w:rsidRPr="004F06B8">
              <w:rPr>
                <w:rFonts w:ascii="Times New Roman" w:hAnsi="Times New Roman" w:cs="Times New Roman"/>
                <w:sz w:val="20"/>
                <w:szCs w:val="20"/>
              </w:rPr>
              <w:t xml:space="preserve"> 3</w:t>
            </w:r>
          </w:p>
        </w:tc>
        <w:tc>
          <w:tcPr>
            <w:tcW w:w="0" w:type="auto"/>
            <w:hideMark/>
          </w:tcPr>
          <w:p w14:paraId="028C065E" w14:textId="77777777" w:rsidR="004F06B8" w:rsidRPr="004B6A64" w:rsidRDefault="004F06B8" w:rsidP="004F06B8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Key Performance </w:t>
            </w:r>
            <w:proofErr w:type="spellStart"/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Indicators</w:t>
            </w:r>
            <w:proofErr w:type="spellEnd"/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(KPIs)</w:t>
            </w:r>
          </w:p>
        </w:tc>
        <w:tc>
          <w:tcPr>
            <w:tcW w:w="0" w:type="auto"/>
            <w:hideMark/>
          </w:tcPr>
          <w:p w14:paraId="50DCF12E" w14:textId="1F67CEDA" w:rsidR="004F06B8" w:rsidRPr="004F06B8" w:rsidRDefault="004F06B8" w:rsidP="004F06B8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Active Customers, Churn Rate, </w:t>
            </w:r>
            <w:r w:rsidR="004B6A64"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Avg </w:t>
            </w:r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New Customers</w:t>
            </w:r>
            <w:r w:rsidR="004B6A64"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per Year</w:t>
            </w:r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, </w:t>
            </w:r>
            <w:r w:rsidR="004B6A64"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Number of transactions</w:t>
            </w:r>
            <w:r w:rsidRPr="004F06B8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 </w:t>
            </w:r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>Avg Transaction Value</w:t>
            </w:r>
          </w:p>
        </w:tc>
        <w:tc>
          <w:tcPr>
            <w:tcW w:w="0" w:type="auto"/>
            <w:hideMark/>
          </w:tcPr>
          <w:p w14:paraId="471D51EC" w14:textId="0591B1CB" w:rsidR="004F06B8" w:rsidRPr="004F06B8" w:rsidRDefault="004B6A64" w:rsidP="004F06B8">
            <w:pPr>
              <w:spacing w:after="16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Solicitação da diretoria comercial. </w:t>
            </w:r>
            <w:r w:rsidR="004F06B8" w:rsidRPr="004F06B8">
              <w:rPr>
                <w:rFonts w:ascii="Times New Roman" w:hAnsi="Times New Roman" w:cs="Times New Roman"/>
                <w:sz w:val="20"/>
                <w:szCs w:val="20"/>
              </w:rPr>
              <w:t>Apresentar uma visão executiva e imediata dos principais indicadores comerciais. Os cards permitem acompanhar aquisição, engajamento, retenção e comportamento transacional, incluindo comparações com 2020 como período de referência</w:t>
            </w:r>
            <w:r w:rsidR="00F534BA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4F06B8" w:rsidRPr="004F06B8" w14:paraId="37D9026C" w14:textId="77777777" w:rsidTr="004F06B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A29896" w14:textId="77777777" w:rsidR="004F06B8" w:rsidRPr="004F06B8" w:rsidRDefault="004F06B8" w:rsidP="004F06B8">
            <w:pPr>
              <w:spacing w:after="160"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F06B8">
              <w:rPr>
                <w:rFonts w:ascii="Segoe UI Emoji" w:hAnsi="Segoe UI Emoji" w:cs="Segoe UI Emoji"/>
                <w:sz w:val="20"/>
                <w:szCs w:val="20"/>
              </w:rPr>
              <w:t>🟢</w:t>
            </w:r>
            <w:r w:rsidRPr="004F06B8">
              <w:rPr>
                <w:rFonts w:ascii="Times New Roman" w:hAnsi="Times New Roman" w:cs="Times New Roman"/>
                <w:sz w:val="20"/>
                <w:szCs w:val="20"/>
              </w:rPr>
              <w:t xml:space="preserve"> 4</w:t>
            </w:r>
          </w:p>
        </w:tc>
        <w:tc>
          <w:tcPr>
            <w:tcW w:w="0" w:type="auto"/>
            <w:hideMark/>
          </w:tcPr>
          <w:p w14:paraId="54C47B06" w14:textId="77777777" w:rsidR="004F06B8" w:rsidRPr="004B6A64" w:rsidRDefault="004F06B8" w:rsidP="004F06B8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  <w:proofErr w:type="spellStart"/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Analytical</w:t>
            </w:r>
            <w:proofErr w:type="spellEnd"/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  <w:t>Visualizations</w:t>
            </w:r>
            <w:proofErr w:type="spellEnd"/>
          </w:p>
        </w:tc>
        <w:tc>
          <w:tcPr>
            <w:tcW w:w="0" w:type="auto"/>
            <w:hideMark/>
          </w:tcPr>
          <w:p w14:paraId="10B0686E" w14:textId="77777777" w:rsidR="004F06B8" w:rsidRPr="004B6A64" w:rsidRDefault="004F06B8" w:rsidP="004F06B8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Active vs. Inactive Customers, Transaction Evolution, Digital vs. Physical Branches, Pix Evolution </w:t>
            </w:r>
            <w:r w:rsidRPr="004B6A6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</w:t>
            </w:r>
            <w:r w:rsidRPr="004B6A64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  <w:t xml:space="preserve"> Credit Proposals by Status</w:t>
            </w:r>
          </w:p>
        </w:tc>
        <w:tc>
          <w:tcPr>
            <w:tcW w:w="0" w:type="auto"/>
            <w:hideMark/>
          </w:tcPr>
          <w:p w14:paraId="5AA2EFDE" w14:textId="77777777" w:rsidR="004F06B8" w:rsidRPr="004F06B8" w:rsidRDefault="004F06B8" w:rsidP="004F06B8">
            <w:pPr>
              <w:spacing w:after="16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0"/>
                <w:szCs w:val="20"/>
              </w:rPr>
            </w:pPr>
            <w:r w:rsidRPr="004F06B8">
              <w:rPr>
                <w:rFonts w:ascii="Times New Roman" w:hAnsi="Times New Roman" w:cs="Times New Roman"/>
                <w:sz w:val="20"/>
                <w:szCs w:val="20"/>
              </w:rPr>
              <w:t>Permitir o aprofundamento dos KPIs, mostrando tendências históricas, comportamento da base de clientes, evolução das transações, adoção dos canais digitais e comportamento das propostas de crédito.</w:t>
            </w:r>
          </w:p>
        </w:tc>
      </w:tr>
    </w:tbl>
    <w:p w14:paraId="392DDE0B" w14:textId="77777777" w:rsidR="00F534BA" w:rsidRDefault="00F534BA" w:rsidP="00F534B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</w:p>
    <w:p w14:paraId="05F290F9" w14:textId="2D0F25E7" w:rsidR="00F534BA" w:rsidRDefault="00F534BA" w:rsidP="00F534B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534BA">
        <w:rPr>
          <w:rFonts w:ascii="Times New Roman" w:hAnsi="Times New Roman" w:cs="Times New Roman"/>
        </w:rPr>
        <w:t xml:space="preserve">Após realização da análise exploratória de dados e idealização do </w:t>
      </w:r>
      <w:r w:rsidRPr="00F534BA">
        <w:rPr>
          <w:rFonts w:ascii="Times New Roman" w:hAnsi="Times New Roman" w:cs="Times New Roman"/>
          <w:i/>
          <w:iCs/>
        </w:rPr>
        <w:t>Mockup</w:t>
      </w:r>
      <w:r w:rsidRPr="00F534BA">
        <w:rPr>
          <w:rFonts w:ascii="Times New Roman" w:hAnsi="Times New Roman" w:cs="Times New Roman"/>
        </w:rPr>
        <w:t xml:space="preserve">, gerou-se o relatório </w:t>
      </w:r>
      <w:r w:rsidRPr="00F534BA">
        <w:rPr>
          <w:rFonts w:ascii="Times New Roman" w:hAnsi="Times New Roman" w:cs="Times New Roman"/>
          <w:i/>
          <w:iCs/>
        </w:rPr>
        <w:t>dashboard</w:t>
      </w:r>
      <w:r w:rsidRPr="00F534BA">
        <w:rPr>
          <w:rFonts w:ascii="Times New Roman" w:hAnsi="Times New Roman" w:cs="Times New Roman"/>
        </w:rPr>
        <w:t xml:space="preserve"> em </w:t>
      </w:r>
      <w:r w:rsidRPr="00F534BA">
        <w:rPr>
          <w:rFonts w:ascii="Times New Roman" w:hAnsi="Times New Roman" w:cs="Times New Roman"/>
          <w:i/>
          <w:iCs/>
        </w:rPr>
        <w:t>Power BI</w:t>
      </w:r>
      <w:r w:rsidRPr="00F534BA">
        <w:rPr>
          <w:rFonts w:ascii="Times New Roman" w:hAnsi="Times New Roman" w:cs="Times New Roman"/>
        </w:rPr>
        <w:t xml:space="preserve"> representado na Figura 2</w:t>
      </w:r>
      <w:r>
        <w:rPr>
          <w:rFonts w:ascii="Times New Roman" w:hAnsi="Times New Roman" w:cs="Times New Roman"/>
        </w:rPr>
        <w:t>.</w:t>
      </w:r>
    </w:p>
    <w:p w14:paraId="6C347D91" w14:textId="77777777" w:rsidR="004B6A64" w:rsidRDefault="009170AD" w:rsidP="004B6A64">
      <w:pPr>
        <w:keepNext/>
        <w:spacing w:line="360" w:lineRule="auto"/>
        <w:jc w:val="both"/>
      </w:pPr>
      <w:r w:rsidRPr="004F06B8">
        <w:rPr>
          <w:rFonts w:ascii="Times New Roman" w:hAnsi="Times New Roman" w:cs="Times New Roman"/>
          <w:b/>
          <w:bCs/>
        </w:rPr>
        <w:drawing>
          <wp:inline distT="0" distB="0" distL="0" distR="0" wp14:anchorId="1118DD52" wp14:editId="16D7B627">
            <wp:extent cx="5400040" cy="3022600"/>
            <wp:effectExtent l="0" t="0" r="0" b="6350"/>
            <wp:docPr id="114389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890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0E41B" w14:textId="2FAC1EA5" w:rsidR="004B6A64" w:rsidRDefault="004B6A64" w:rsidP="00F534BA">
      <w:pPr>
        <w:pStyle w:val="Caption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</w:pPr>
      <w:r w:rsidRPr="004B6A64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Figura </w:t>
      </w:r>
      <w:r w:rsidRPr="004B6A64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fldChar w:fldCharType="begin"/>
      </w:r>
      <w:r w:rsidRPr="004B6A64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instrText xml:space="preserve"> SEQ Figura \* ARABIC </w:instrText>
      </w:r>
      <w:r w:rsidRPr="004B6A64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fldChar w:fldCharType="separate"/>
      </w:r>
      <w:r w:rsidRPr="004B6A64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>2</w:t>
      </w:r>
      <w:r w:rsidRPr="004B6A64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fldChar w:fldCharType="end"/>
      </w:r>
      <w:r w:rsidRPr="004B6A64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- </w:t>
      </w:r>
      <w:r w:rsidRPr="00F534BA">
        <w:rPr>
          <w:rFonts w:ascii="Times New Roman" w:hAnsi="Times New Roman" w:cs="Times New Roman"/>
          <w:color w:val="000000" w:themeColor="text1"/>
          <w:sz w:val="20"/>
          <w:szCs w:val="20"/>
        </w:rPr>
        <w:t>Dashboard</w:t>
      </w:r>
      <w:r w:rsidRPr="004B6A64">
        <w:rPr>
          <w:rFonts w:ascii="Times New Roman" w:hAnsi="Times New Roman" w:cs="Times New Roman"/>
          <w:i w:val="0"/>
          <w:iCs w:val="0"/>
          <w:color w:val="000000" w:themeColor="text1"/>
          <w:sz w:val="20"/>
          <w:szCs w:val="20"/>
        </w:rPr>
        <w:t xml:space="preserve"> finalizado</w:t>
      </w:r>
    </w:p>
    <w:p w14:paraId="553D8850" w14:textId="77777777" w:rsidR="00E539C8" w:rsidRPr="00E539C8" w:rsidRDefault="00E539C8" w:rsidP="00E539C8"/>
    <w:p w14:paraId="29EF36BB" w14:textId="64D2462C" w:rsidR="00F534BA" w:rsidRPr="00E539C8" w:rsidRDefault="00F534BA" w:rsidP="00E539C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539C8">
        <w:rPr>
          <w:rFonts w:ascii="Times New Roman" w:hAnsi="Times New Roman" w:cs="Times New Roman"/>
          <w:b/>
          <w:bCs/>
        </w:rPr>
        <w:lastRenderedPageBreak/>
        <w:t xml:space="preserve">Leitura </w:t>
      </w:r>
      <w:r w:rsidRPr="00E539C8">
        <w:rPr>
          <w:rFonts w:ascii="Times New Roman" w:hAnsi="Times New Roman" w:cs="Times New Roman"/>
          <w:b/>
          <w:bCs/>
        </w:rPr>
        <w:t>complementar da região</w:t>
      </w:r>
      <w:r w:rsidRPr="00E539C8">
        <w:rPr>
          <w:rFonts w:ascii="Times New Roman" w:hAnsi="Times New Roman" w:cs="Times New Roman"/>
          <w:b/>
          <w:bCs/>
        </w:rPr>
        <w:t xml:space="preserve"> 3 </w:t>
      </w:r>
    </w:p>
    <w:p w14:paraId="0F7A21F8" w14:textId="27025AAC" w:rsidR="00F534BA" w:rsidRPr="00F534BA" w:rsidRDefault="00F534BA" w:rsidP="00F534B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F534BA">
        <w:rPr>
          <w:rFonts w:ascii="Times New Roman" w:hAnsi="Times New Roman" w:cs="Times New Roman"/>
        </w:rPr>
        <w:t>Essa região</w:t>
      </w:r>
      <w:r w:rsidRPr="00F534BA">
        <w:rPr>
          <w:rFonts w:ascii="Times New Roman" w:hAnsi="Times New Roman" w:cs="Times New Roman"/>
        </w:rPr>
        <w:t xml:space="preserve"> reúne os principais KPIs comerciais do BanVic</w:t>
      </w:r>
      <w:r w:rsidRPr="00F534BA">
        <w:rPr>
          <w:rFonts w:ascii="Times New Roman" w:hAnsi="Times New Roman" w:cs="Times New Roman"/>
        </w:rPr>
        <w:t xml:space="preserve"> solicitados pelo time comercial e pela diretora comercial Camila Diniz</w:t>
      </w:r>
      <w:r w:rsidRPr="00F534BA">
        <w:rPr>
          <w:rFonts w:ascii="Times New Roman" w:hAnsi="Times New Roman" w:cs="Times New Roman"/>
        </w:rPr>
        <w:t xml:space="preserve">. </w:t>
      </w:r>
      <w:r w:rsidRPr="00F534BA">
        <w:rPr>
          <w:rFonts w:ascii="Times New Roman" w:hAnsi="Times New Roman" w:cs="Times New Roman"/>
          <w:i/>
          <w:iCs/>
        </w:rPr>
        <w:t xml:space="preserve">Active </w:t>
      </w:r>
      <w:proofErr w:type="spellStart"/>
      <w:r w:rsidRPr="00F534BA">
        <w:rPr>
          <w:rFonts w:ascii="Times New Roman" w:hAnsi="Times New Roman" w:cs="Times New Roman"/>
          <w:i/>
          <w:iCs/>
        </w:rPr>
        <w:t>Customers</w:t>
      </w:r>
      <w:proofErr w:type="spellEnd"/>
      <w:r w:rsidRPr="00F534BA">
        <w:rPr>
          <w:rFonts w:ascii="Times New Roman" w:hAnsi="Times New Roman" w:cs="Times New Roman"/>
        </w:rPr>
        <w:t xml:space="preserve"> mede o engajamento da base, </w:t>
      </w:r>
      <w:proofErr w:type="spellStart"/>
      <w:r w:rsidRPr="00F534BA">
        <w:rPr>
          <w:rFonts w:ascii="Times New Roman" w:hAnsi="Times New Roman" w:cs="Times New Roman"/>
          <w:i/>
          <w:iCs/>
        </w:rPr>
        <w:t>Churn</w:t>
      </w:r>
      <w:proofErr w:type="spellEnd"/>
      <w:r w:rsidRPr="00F534BA">
        <w:rPr>
          <w:rFonts w:ascii="Times New Roman" w:hAnsi="Times New Roman" w:cs="Times New Roman"/>
          <w:i/>
          <w:iCs/>
        </w:rPr>
        <w:t xml:space="preserve"> Rate</w:t>
      </w:r>
      <w:r w:rsidRPr="00F534BA">
        <w:rPr>
          <w:rFonts w:ascii="Times New Roman" w:hAnsi="Times New Roman" w:cs="Times New Roman"/>
        </w:rPr>
        <w:t xml:space="preserve"> acompanha a perda de clientes ativos, </w:t>
      </w:r>
      <w:proofErr w:type="spellStart"/>
      <w:r w:rsidRPr="00F534BA">
        <w:rPr>
          <w:rFonts w:ascii="Times New Roman" w:hAnsi="Times New Roman" w:cs="Times New Roman"/>
          <w:i/>
          <w:iCs/>
        </w:rPr>
        <w:t>Avg</w:t>
      </w:r>
      <w:proofErr w:type="spellEnd"/>
      <w:r w:rsidRPr="00F534BA">
        <w:rPr>
          <w:rFonts w:ascii="Times New Roman" w:hAnsi="Times New Roman" w:cs="Times New Roman"/>
          <w:i/>
          <w:iCs/>
        </w:rPr>
        <w:t xml:space="preserve"> </w:t>
      </w:r>
      <w:r w:rsidRPr="00F534BA">
        <w:rPr>
          <w:rFonts w:ascii="Times New Roman" w:hAnsi="Times New Roman" w:cs="Times New Roman"/>
          <w:i/>
          <w:iCs/>
        </w:rPr>
        <w:t xml:space="preserve">New </w:t>
      </w:r>
      <w:proofErr w:type="spellStart"/>
      <w:r w:rsidRPr="00F534BA">
        <w:rPr>
          <w:rFonts w:ascii="Times New Roman" w:hAnsi="Times New Roman" w:cs="Times New Roman"/>
          <w:i/>
          <w:iCs/>
        </w:rPr>
        <w:t>Customers</w:t>
      </w:r>
      <w:proofErr w:type="spellEnd"/>
      <w:r w:rsidRPr="00F534BA">
        <w:rPr>
          <w:rFonts w:ascii="Times New Roman" w:hAnsi="Times New Roman" w:cs="Times New Roman"/>
          <w:i/>
          <w:iCs/>
        </w:rPr>
        <w:t xml:space="preserve"> per Year</w:t>
      </w:r>
      <w:r w:rsidRPr="00F534BA">
        <w:rPr>
          <w:rFonts w:ascii="Times New Roman" w:hAnsi="Times New Roman" w:cs="Times New Roman"/>
        </w:rPr>
        <w:t xml:space="preserve"> monitora a aquisição, </w:t>
      </w:r>
      <w:r w:rsidRPr="00F534BA">
        <w:rPr>
          <w:rFonts w:ascii="Times New Roman" w:hAnsi="Times New Roman" w:cs="Times New Roman"/>
          <w:i/>
          <w:iCs/>
        </w:rPr>
        <w:t xml:space="preserve">Total </w:t>
      </w:r>
      <w:proofErr w:type="spellStart"/>
      <w:r w:rsidRPr="00F534BA">
        <w:rPr>
          <w:rFonts w:ascii="Times New Roman" w:hAnsi="Times New Roman" w:cs="Times New Roman"/>
          <w:i/>
          <w:iCs/>
        </w:rPr>
        <w:t>Transactions</w:t>
      </w:r>
      <w:proofErr w:type="spellEnd"/>
      <w:r w:rsidRPr="00F534BA">
        <w:rPr>
          <w:rFonts w:ascii="Times New Roman" w:hAnsi="Times New Roman" w:cs="Times New Roman"/>
        </w:rPr>
        <w:t xml:space="preserve"> representa o volume de operações e </w:t>
      </w:r>
      <w:proofErr w:type="spellStart"/>
      <w:r w:rsidRPr="00F534BA">
        <w:rPr>
          <w:rFonts w:ascii="Times New Roman" w:hAnsi="Times New Roman" w:cs="Times New Roman"/>
          <w:i/>
          <w:iCs/>
        </w:rPr>
        <w:t>Avg</w:t>
      </w:r>
      <w:proofErr w:type="spellEnd"/>
      <w:r w:rsidRPr="00F53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534BA">
        <w:rPr>
          <w:rFonts w:ascii="Times New Roman" w:hAnsi="Times New Roman" w:cs="Times New Roman"/>
          <w:i/>
          <w:iCs/>
        </w:rPr>
        <w:t>Transaction</w:t>
      </w:r>
      <w:proofErr w:type="spellEnd"/>
      <w:r w:rsidRPr="00F53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534BA">
        <w:rPr>
          <w:rFonts w:ascii="Times New Roman" w:hAnsi="Times New Roman" w:cs="Times New Roman"/>
          <w:i/>
          <w:iCs/>
        </w:rPr>
        <w:t>Value</w:t>
      </w:r>
      <w:proofErr w:type="spellEnd"/>
      <w:r w:rsidRPr="00F534BA">
        <w:rPr>
          <w:rFonts w:ascii="Times New Roman" w:hAnsi="Times New Roman" w:cs="Times New Roman"/>
        </w:rPr>
        <w:t xml:space="preserve"> indica o valor médio movimentado. Os cards também apresentam comparações com 2020 como período de referência, facilitando a identificação da evolução dos resultados</w:t>
      </w:r>
      <w:r>
        <w:rPr>
          <w:rFonts w:ascii="Times New Roman" w:hAnsi="Times New Roman" w:cs="Times New Roman"/>
        </w:rPr>
        <w:t xml:space="preserve"> </w:t>
      </w:r>
      <w:r w:rsidRPr="00F534BA">
        <w:rPr>
          <w:rFonts w:ascii="Times New Roman" w:hAnsi="Times New Roman" w:cs="Times New Roman"/>
        </w:rPr>
        <w:t>(oriundo da análise exploratória de dados).</w:t>
      </w:r>
    </w:p>
    <w:p w14:paraId="3EDB0C00" w14:textId="373E66A6" w:rsidR="004B6A64" w:rsidRPr="00E539C8" w:rsidRDefault="004B6A64" w:rsidP="00E539C8">
      <w:pPr>
        <w:pStyle w:val="ListParagraph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</w:rPr>
      </w:pPr>
      <w:r w:rsidRPr="00E539C8">
        <w:rPr>
          <w:rFonts w:ascii="Times New Roman" w:hAnsi="Times New Roman" w:cs="Times New Roman"/>
          <w:b/>
          <w:bCs/>
        </w:rPr>
        <w:t xml:space="preserve">Leitura </w:t>
      </w:r>
      <w:r w:rsidR="00F534BA" w:rsidRPr="00E539C8">
        <w:rPr>
          <w:rFonts w:ascii="Times New Roman" w:hAnsi="Times New Roman" w:cs="Times New Roman"/>
          <w:b/>
          <w:bCs/>
        </w:rPr>
        <w:t xml:space="preserve">complementar </w:t>
      </w:r>
      <w:r w:rsidRPr="00E539C8">
        <w:rPr>
          <w:rFonts w:ascii="Times New Roman" w:hAnsi="Times New Roman" w:cs="Times New Roman"/>
          <w:b/>
          <w:bCs/>
        </w:rPr>
        <w:t xml:space="preserve">da </w:t>
      </w:r>
      <w:r w:rsidRPr="00E539C8">
        <w:rPr>
          <w:rFonts w:ascii="Times New Roman" w:hAnsi="Times New Roman" w:cs="Times New Roman"/>
          <w:b/>
          <w:bCs/>
        </w:rPr>
        <w:t>região</w:t>
      </w:r>
      <w:r w:rsidRPr="00E539C8">
        <w:rPr>
          <w:rFonts w:ascii="Times New Roman" w:hAnsi="Times New Roman" w:cs="Times New Roman"/>
          <w:b/>
          <w:bCs/>
        </w:rPr>
        <w:t xml:space="preserve"> 4</w:t>
      </w:r>
    </w:p>
    <w:p w14:paraId="09D8516D" w14:textId="77777777" w:rsidR="004B6A64" w:rsidRDefault="004B6A64" w:rsidP="004B6A6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B6A64">
        <w:rPr>
          <w:rFonts w:ascii="Times New Roman" w:hAnsi="Times New Roman" w:cs="Times New Roman"/>
        </w:rPr>
        <w:t xml:space="preserve">Os cinco gráficos cumprem papéis complementares. </w:t>
      </w:r>
      <w:r w:rsidRPr="004B6A64">
        <w:rPr>
          <w:rFonts w:ascii="Times New Roman" w:hAnsi="Times New Roman" w:cs="Times New Roman"/>
          <w:i/>
          <w:iCs/>
        </w:rPr>
        <w:t xml:space="preserve">Active vs. </w:t>
      </w:r>
      <w:proofErr w:type="spellStart"/>
      <w:r w:rsidRPr="004B6A64">
        <w:rPr>
          <w:rFonts w:ascii="Times New Roman" w:hAnsi="Times New Roman" w:cs="Times New Roman"/>
          <w:i/>
          <w:iCs/>
        </w:rPr>
        <w:t>Inactive</w:t>
      </w:r>
      <w:proofErr w:type="spellEnd"/>
      <w:r w:rsidRPr="004B6A64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4B6A64">
        <w:rPr>
          <w:rFonts w:ascii="Times New Roman" w:hAnsi="Times New Roman" w:cs="Times New Roman"/>
          <w:i/>
          <w:iCs/>
        </w:rPr>
        <w:t>Customers</w:t>
      </w:r>
      <w:proofErr w:type="spellEnd"/>
      <w:r w:rsidRPr="004B6A64">
        <w:rPr>
          <w:rFonts w:ascii="Times New Roman" w:hAnsi="Times New Roman" w:cs="Times New Roman"/>
        </w:rPr>
        <w:t xml:space="preserve"> acompanha a evolução do engajamento da base e ajuda a contextualizar o indicador de clientes ativos. </w:t>
      </w:r>
      <w:proofErr w:type="spellStart"/>
      <w:r w:rsidRPr="00F534BA">
        <w:rPr>
          <w:rFonts w:ascii="Times New Roman" w:hAnsi="Times New Roman" w:cs="Times New Roman"/>
          <w:i/>
          <w:iCs/>
        </w:rPr>
        <w:t>Transaction</w:t>
      </w:r>
      <w:proofErr w:type="spellEnd"/>
      <w:r w:rsidRPr="00F534BA">
        <w:rPr>
          <w:rFonts w:ascii="Times New Roman" w:hAnsi="Times New Roman" w:cs="Times New Roman"/>
          <w:i/>
          <w:iCs/>
        </w:rPr>
        <w:t xml:space="preserve"> Evolution</w:t>
      </w:r>
      <w:r w:rsidRPr="004B6A64">
        <w:rPr>
          <w:rFonts w:ascii="Times New Roman" w:hAnsi="Times New Roman" w:cs="Times New Roman"/>
        </w:rPr>
        <w:t xml:space="preserve"> apresenta a evolução temporal do volume transacional e evidencia períodos de crescimento ou comportamento atípico.</w:t>
      </w:r>
    </w:p>
    <w:p w14:paraId="2DCEA5A7" w14:textId="04691A8C" w:rsidR="004B6A64" w:rsidRDefault="004B6A64" w:rsidP="00F534B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B6A64">
        <w:rPr>
          <w:rFonts w:ascii="Times New Roman" w:hAnsi="Times New Roman" w:cs="Times New Roman"/>
        </w:rPr>
        <w:t xml:space="preserve">Na segunda linha, </w:t>
      </w:r>
      <w:r w:rsidRPr="00F534BA">
        <w:rPr>
          <w:rFonts w:ascii="Times New Roman" w:hAnsi="Times New Roman" w:cs="Times New Roman"/>
          <w:i/>
          <w:iCs/>
        </w:rPr>
        <w:t xml:space="preserve">Digital vs. </w:t>
      </w:r>
      <w:proofErr w:type="spellStart"/>
      <w:r w:rsidRPr="00F534BA">
        <w:rPr>
          <w:rFonts w:ascii="Times New Roman" w:hAnsi="Times New Roman" w:cs="Times New Roman"/>
          <w:i/>
          <w:iCs/>
        </w:rPr>
        <w:t>Physical</w:t>
      </w:r>
      <w:proofErr w:type="spellEnd"/>
      <w:r w:rsidRPr="00F53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534BA">
        <w:rPr>
          <w:rFonts w:ascii="Times New Roman" w:hAnsi="Times New Roman" w:cs="Times New Roman"/>
          <w:i/>
          <w:iCs/>
        </w:rPr>
        <w:t>Branches</w:t>
      </w:r>
      <w:proofErr w:type="spellEnd"/>
      <w:r w:rsidRPr="004B6A64">
        <w:rPr>
          <w:rFonts w:ascii="Times New Roman" w:hAnsi="Times New Roman" w:cs="Times New Roman"/>
        </w:rPr>
        <w:t xml:space="preserve"> permite acompanhar a evolução dos dois canais e a expansão da presença digital. </w:t>
      </w:r>
      <w:r w:rsidRPr="00F534BA">
        <w:rPr>
          <w:rFonts w:ascii="Times New Roman" w:hAnsi="Times New Roman" w:cs="Times New Roman"/>
          <w:i/>
          <w:iCs/>
        </w:rPr>
        <w:t>Pix Evolution</w:t>
      </w:r>
      <w:r w:rsidRPr="004B6A64">
        <w:rPr>
          <w:rFonts w:ascii="Times New Roman" w:hAnsi="Times New Roman" w:cs="Times New Roman"/>
        </w:rPr>
        <w:t xml:space="preserve"> evidencia a adoção do Pix e sua participação crescente no comportamento transacional</w:t>
      </w:r>
      <w:r>
        <w:rPr>
          <w:rFonts w:ascii="Times New Roman" w:hAnsi="Times New Roman" w:cs="Times New Roman"/>
        </w:rPr>
        <w:t xml:space="preserve"> a partir de novembro de 2020</w:t>
      </w:r>
      <w:r w:rsidRPr="004B6A64">
        <w:rPr>
          <w:rFonts w:ascii="Times New Roman" w:hAnsi="Times New Roman" w:cs="Times New Roman"/>
        </w:rPr>
        <w:t xml:space="preserve">. Por fim, </w:t>
      </w:r>
      <w:proofErr w:type="spellStart"/>
      <w:r w:rsidRPr="00F534BA">
        <w:rPr>
          <w:rFonts w:ascii="Times New Roman" w:hAnsi="Times New Roman" w:cs="Times New Roman"/>
          <w:i/>
          <w:iCs/>
        </w:rPr>
        <w:t>Credit</w:t>
      </w:r>
      <w:proofErr w:type="spellEnd"/>
      <w:r w:rsidRPr="00F53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534BA">
        <w:rPr>
          <w:rFonts w:ascii="Times New Roman" w:hAnsi="Times New Roman" w:cs="Times New Roman"/>
          <w:i/>
          <w:iCs/>
        </w:rPr>
        <w:t>Proposals</w:t>
      </w:r>
      <w:proofErr w:type="spellEnd"/>
      <w:r w:rsidRPr="00F534BA">
        <w:rPr>
          <w:rFonts w:ascii="Times New Roman" w:hAnsi="Times New Roman" w:cs="Times New Roman"/>
          <w:i/>
          <w:iCs/>
        </w:rPr>
        <w:t xml:space="preserve"> </w:t>
      </w:r>
      <w:proofErr w:type="spellStart"/>
      <w:r w:rsidRPr="00F534BA">
        <w:rPr>
          <w:rFonts w:ascii="Times New Roman" w:hAnsi="Times New Roman" w:cs="Times New Roman"/>
          <w:i/>
          <w:iCs/>
        </w:rPr>
        <w:t>by</w:t>
      </w:r>
      <w:proofErr w:type="spellEnd"/>
      <w:r w:rsidRPr="00F534BA">
        <w:rPr>
          <w:rFonts w:ascii="Times New Roman" w:hAnsi="Times New Roman" w:cs="Times New Roman"/>
          <w:i/>
          <w:iCs/>
        </w:rPr>
        <w:t xml:space="preserve"> Status</w:t>
      </w:r>
      <w:r w:rsidRPr="004B6A64">
        <w:rPr>
          <w:rFonts w:ascii="Times New Roman" w:hAnsi="Times New Roman" w:cs="Times New Roman"/>
        </w:rPr>
        <w:t xml:space="preserve"> apresenta a distribuição e evolução das propostas de crédito de acordo com seus respectivos status.</w:t>
      </w:r>
    </w:p>
    <w:p w14:paraId="543E83C0" w14:textId="77777777" w:rsidR="004B3434" w:rsidRPr="00F534BA" w:rsidRDefault="004B3434" w:rsidP="00F534BA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</w:p>
    <w:p w14:paraId="1B5F8FEC" w14:textId="3C2109AE" w:rsidR="004B3434" w:rsidRDefault="009170AD" w:rsidP="009170AD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255AE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Storytelling do </w:t>
      </w:r>
      <w:r w:rsidR="00E539C8" w:rsidRPr="00E255AE">
        <w:rPr>
          <w:rFonts w:ascii="Times New Roman" w:hAnsi="Times New Roman" w:cs="Times New Roman"/>
          <w:b/>
          <w:bCs/>
          <w:i/>
          <w:iCs/>
          <w:sz w:val="28"/>
          <w:szCs w:val="28"/>
        </w:rPr>
        <w:t>d</w:t>
      </w:r>
      <w:r w:rsidRPr="00E255AE">
        <w:rPr>
          <w:rFonts w:ascii="Times New Roman" w:hAnsi="Times New Roman" w:cs="Times New Roman"/>
          <w:b/>
          <w:bCs/>
          <w:i/>
          <w:iCs/>
          <w:sz w:val="28"/>
          <w:szCs w:val="28"/>
        </w:rPr>
        <w:t>ashboard BanVic</w:t>
      </w:r>
    </w:p>
    <w:p w14:paraId="7713D9FF" w14:textId="51DFA763" w:rsidR="00E255AE" w:rsidRPr="004B3434" w:rsidRDefault="004B3434" w:rsidP="00E255AE">
      <w:pPr>
        <w:spacing w:line="360" w:lineRule="auto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*</w:t>
      </w:r>
      <w:r w:rsidR="00E255AE" w:rsidRPr="004B3434">
        <w:rPr>
          <w:rFonts w:ascii="Times New Roman" w:hAnsi="Times New Roman" w:cs="Times New Roman"/>
          <w:b/>
          <w:bCs/>
          <w:sz w:val="20"/>
          <w:szCs w:val="20"/>
        </w:rPr>
        <w:t>Nota:</w:t>
      </w:r>
      <w:r w:rsidR="00E255AE" w:rsidRPr="004B3434">
        <w:rPr>
          <w:rFonts w:ascii="Times New Roman" w:hAnsi="Times New Roman" w:cs="Times New Roman"/>
          <w:sz w:val="20"/>
          <w:szCs w:val="20"/>
        </w:rPr>
        <w:t xml:space="preserve"> o</w:t>
      </w:r>
      <w:r w:rsidR="00E255AE" w:rsidRPr="004B3434">
        <w:rPr>
          <w:rFonts w:ascii="Times New Roman" w:hAnsi="Times New Roman" w:cs="Times New Roman"/>
          <w:sz w:val="20"/>
          <w:szCs w:val="20"/>
        </w:rPr>
        <w:t xml:space="preserve"> pico observado em dezembro de 2022 </w:t>
      </w:r>
      <w:r w:rsidR="00E255AE" w:rsidRPr="004B3434">
        <w:rPr>
          <w:rFonts w:ascii="Times New Roman" w:hAnsi="Times New Roman" w:cs="Times New Roman"/>
          <w:sz w:val="20"/>
          <w:szCs w:val="20"/>
        </w:rPr>
        <w:t xml:space="preserve">na base de transações da BanVic </w:t>
      </w:r>
      <w:r w:rsidR="00E255AE" w:rsidRPr="004B3434">
        <w:rPr>
          <w:rFonts w:ascii="Times New Roman" w:hAnsi="Times New Roman" w:cs="Times New Roman"/>
          <w:sz w:val="20"/>
          <w:szCs w:val="20"/>
        </w:rPr>
        <w:t>apresenta um comportamento atípico em relação ao histórico da base. Para fins didáticos, o período foi mantido e analisado no estudo, permitindo explorar sua composição e seus impactos nos indicadores</w:t>
      </w:r>
      <w:r w:rsidR="00E255AE" w:rsidRPr="004B3434">
        <w:rPr>
          <w:rFonts w:ascii="Times New Roman" w:hAnsi="Times New Roman" w:cs="Times New Roman"/>
          <w:sz w:val="20"/>
          <w:szCs w:val="20"/>
        </w:rPr>
        <w:t xml:space="preserve"> e na construção do </w:t>
      </w:r>
      <w:r w:rsidR="00E255AE" w:rsidRPr="004B3434">
        <w:rPr>
          <w:rFonts w:ascii="Times New Roman" w:hAnsi="Times New Roman" w:cs="Times New Roman"/>
          <w:i/>
          <w:iCs/>
          <w:sz w:val="20"/>
          <w:szCs w:val="20"/>
        </w:rPr>
        <w:t>Storytelling</w:t>
      </w:r>
      <w:r w:rsidR="00E255AE" w:rsidRPr="004B3434">
        <w:rPr>
          <w:rFonts w:ascii="Times New Roman" w:hAnsi="Times New Roman" w:cs="Times New Roman"/>
          <w:sz w:val="20"/>
          <w:szCs w:val="20"/>
        </w:rPr>
        <w:t xml:space="preserve"> a seguir</w:t>
      </w:r>
      <w:r w:rsidR="00E255AE" w:rsidRPr="004B3434">
        <w:rPr>
          <w:rFonts w:ascii="Times New Roman" w:hAnsi="Times New Roman" w:cs="Times New Roman"/>
          <w:sz w:val="20"/>
          <w:szCs w:val="20"/>
        </w:rPr>
        <w:t>. Entretanto, sua magnitude sugere uma possível particularidade ou ajuste técnico na origem dos dados, não devendo ser interpretado diretamente como crescimento natural da atividade transacional</w:t>
      </w:r>
      <w:r w:rsidRPr="004B3434">
        <w:rPr>
          <w:rFonts w:ascii="Times New Roman" w:hAnsi="Times New Roman" w:cs="Times New Roman"/>
          <w:sz w:val="20"/>
          <w:szCs w:val="20"/>
        </w:rPr>
        <w:t xml:space="preserve"> de um banco real</w:t>
      </w:r>
      <w:r w:rsidR="00E255AE" w:rsidRPr="004B3434">
        <w:rPr>
          <w:rFonts w:ascii="Times New Roman" w:hAnsi="Times New Roman" w:cs="Times New Roman"/>
          <w:sz w:val="20"/>
          <w:szCs w:val="20"/>
        </w:rPr>
        <w:t>.</w:t>
      </w:r>
    </w:p>
    <w:p w14:paraId="3EA1091B" w14:textId="47D5B3A6" w:rsidR="009170AD" w:rsidRPr="00E539C8" w:rsidRDefault="009170AD" w:rsidP="00E539C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539C8">
        <w:rPr>
          <w:rFonts w:ascii="Times New Roman" w:hAnsi="Times New Roman" w:cs="Times New Roman"/>
          <w:b/>
          <w:bCs/>
        </w:rPr>
        <w:t xml:space="preserve"> </w:t>
      </w:r>
      <w:r w:rsidR="00E255AE">
        <w:rPr>
          <w:rFonts w:ascii="Times New Roman" w:hAnsi="Times New Roman" w:cs="Times New Roman"/>
          <w:b/>
          <w:bCs/>
        </w:rPr>
        <w:t>A</w:t>
      </w:r>
      <w:r w:rsidRPr="00E539C8">
        <w:rPr>
          <w:rFonts w:ascii="Times New Roman" w:hAnsi="Times New Roman" w:cs="Times New Roman"/>
          <w:b/>
          <w:bCs/>
        </w:rPr>
        <w:t xml:space="preserve"> BanVic apresenta expansão da base e fortalecimento do canal digital</w:t>
      </w:r>
    </w:p>
    <w:p w14:paraId="57E3881C" w14:textId="7D514F89" w:rsidR="004B3434" w:rsidRPr="004F06B8" w:rsidRDefault="009170AD" w:rsidP="004B343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F06B8">
        <w:rPr>
          <w:rFonts w:ascii="Times New Roman" w:hAnsi="Times New Roman" w:cs="Times New Roman"/>
        </w:rPr>
        <w:t xml:space="preserve">A evolução histórica mostra crescimento da base de clientes e uma adoção progressiva do canal digital. Desde a introdução das agências digitais em 2015, a diferença para o canal físico diminuiu de forma consistente, </w:t>
      </w:r>
      <w:r w:rsidRPr="00E255AE">
        <w:rPr>
          <w:rFonts w:ascii="Times New Roman" w:hAnsi="Times New Roman" w:cs="Times New Roman"/>
        </w:rPr>
        <w:t>chegando a 460 contas digitais contra 539 físicas em 2022.</w:t>
      </w:r>
    </w:p>
    <w:p w14:paraId="07D8E52B" w14:textId="6C59CE2E" w:rsidR="009170AD" w:rsidRPr="00E539C8" w:rsidRDefault="009170AD" w:rsidP="00E539C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539C8">
        <w:rPr>
          <w:rFonts w:ascii="Times New Roman" w:hAnsi="Times New Roman" w:cs="Times New Roman"/>
          <w:b/>
          <w:bCs/>
        </w:rPr>
        <w:lastRenderedPageBreak/>
        <w:t>O crescimento da base foi acompanhado por maior atividade dos clientes</w:t>
      </w:r>
    </w:p>
    <w:p w14:paraId="6E360ADF" w14:textId="4EFB7605" w:rsidR="009170AD" w:rsidRPr="004F06B8" w:rsidRDefault="009170AD" w:rsidP="00E255AE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F06B8">
        <w:rPr>
          <w:rFonts w:ascii="Times New Roman" w:hAnsi="Times New Roman" w:cs="Times New Roman"/>
        </w:rPr>
        <w:t xml:space="preserve">O comportamento da base também apresenta uma melhora importante nos anos mais recentes. O percentual de </w:t>
      </w:r>
      <w:r w:rsidRPr="00E255AE">
        <w:rPr>
          <w:rFonts w:ascii="Times New Roman" w:hAnsi="Times New Roman" w:cs="Times New Roman"/>
        </w:rPr>
        <w:t>clientes ativos, que chegou a 58,7% em 2020, aumentou para 66,2% em 2021 e alcançou 78,4% em 2022.</w:t>
      </w:r>
      <w:r w:rsidR="00E255AE">
        <w:rPr>
          <w:rFonts w:ascii="Times New Roman" w:hAnsi="Times New Roman" w:cs="Times New Roman"/>
        </w:rPr>
        <w:t xml:space="preserve"> </w:t>
      </w:r>
      <w:r w:rsidRPr="004F06B8">
        <w:rPr>
          <w:rFonts w:ascii="Times New Roman" w:hAnsi="Times New Roman" w:cs="Times New Roman"/>
        </w:rPr>
        <w:t>Portanto, o crescimento recente não está relacionado apenas à aquisição de clientes: há também uma recuperação significativa no nível de utilização dos serviços bancários.</w:t>
      </w:r>
    </w:p>
    <w:p w14:paraId="2A4C0439" w14:textId="705B4FF0" w:rsidR="009170AD" w:rsidRPr="00E539C8" w:rsidRDefault="009170AD" w:rsidP="00E539C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539C8">
        <w:rPr>
          <w:rFonts w:ascii="Times New Roman" w:hAnsi="Times New Roman" w:cs="Times New Roman"/>
          <w:b/>
          <w:bCs/>
        </w:rPr>
        <w:t xml:space="preserve"> A melhora da atividade aparece também na retenção</w:t>
      </w:r>
    </w:p>
    <w:p w14:paraId="6F56C50C" w14:textId="775E9AD9" w:rsidR="009170AD" w:rsidRPr="004F06B8" w:rsidRDefault="009170AD" w:rsidP="00E255AE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F06B8">
        <w:rPr>
          <w:rFonts w:ascii="Times New Roman" w:hAnsi="Times New Roman" w:cs="Times New Roman"/>
        </w:rPr>
        <w:t xml:space="preserve">O </w:t>
      </w:r>
      <w:proofErr w:type="spellStart"/>
      <w:r w:rsidRPr="004F06B8">
        <w:rPr>
          <w:rFonts w:ascii="Times New Roman" w:hAnsi="Times New Roman" w:cs="Times New Roman"/>
        </w:rPr>
        <w:t>churn</w:t>
      </w:r>
      <w:proofErr w:type="spellEnd"/>
      <w:r w:rsidRPr="004F06B8">
        <w:rPr>
          <w:rFonts w:ascii="Times New Roman" w:hAnsi="Times New Roman" w:cs="Times New Roman"/>
        </w:rPr>
        <w:t xml:space="preserve"> segue movimento inverso. Conforme a definição adotada na análise </w:t>
      </w:r>
      <w:r w:rsidR="00E255AE">
        <w:rPr>
          <w:rFonts w:ascii="Times New Roman" w:hAnsi="Times New Roman" w:cs="Times New Roman"/>
        </w:rPr>
        <w:t>de</w:t>
      </w:r>
      <w:r w:rsidRPr="004F06B8">
        <w:rPr>
          <w:rFonts w:ascii="Times New Roman" w:hAnsi="Times New Roman" w:cs="Times New Roman"/>
        </w:rPr>
        <w:t xml:space="preserve"> clientes ativos no ano anterior que deixaram de transacionar no ano seguinte</w:t>
      </w:r>
      <w:r w:rsidR="00E255AE">
        <w:rPr>
          <w:rFonts w:ascii="Times New Roman" w:hAnsi="Times New Roman" w:cs="Times New Roman"/>
        </w:rPr>
        <w:t>,</w:t>
      </w:r>
      <w:r w:rsidRPr="004F06B8">
        <w:rPr>
          <w:rFonts w:ascii="Times New Roman" w:hAnsi="Times New Roman" w:cs="Times New Roman"/>
        </w:rPr>
        <w:t xml:space="preserve"> os dados indicam redução </w:t>
      </w:r>
      <w:r w:rsidRPr="00E255AE">
        <w:rPr>
          <w:rFonts w:ascii="Times New Roman" w:hAnsi="Times New Roman" w:cs="Times New Roman"/>
        </w:rPr>
        <w:t>relevante nos últimos anos.</w:t>
      </w:r>
      <w:r w:rsidR="00E255AE" w:rsidRPr="00E255AE">
        <w:rPr>
          <w:rFonts w:ascii="Times New Roman" w:hAnsi="Times New Roman" w:cs="Times New Roman"/>
        </w:rPr>
        <w:t xml:space="preserve"> </w:t>
      </w:r>
      <w:r w:rsidRPr="00E255AE">
        <w:rPr>
          <w:rFonts w:ascii="Times New Roman" w:hAnsi="Times New Roman" w:cs="Times New Roman"/>
        </w:rPr>
        <w:t xml:space="preserve">Isso reforça uma leitura importante para a área </w:t>
      </w:r>
      <w:r w:rsidR="00E255AE" w:rsidRPr="00E255AE">
        <w:rPr>
          <w:rFonts w:ascii="Times New Roman" w:hAnsi="Times New Roman" w:cs="Times New Roman"/>
        </w:rPr>
        <w:t>c</w:t>
      </w:r>
      <w:r w:rsidRPr="00E255AE">
        <w:rPr>
          <w:rFonts w:ascii="Times New Roman" w:hAnsi="Times New Roman" w:cs="Times New Roman"/>
        </w:rPr>
        <w:t>omercial: a base recente apresenta simultaneamente maior atividade e menor perda de clientes anteriormente ativos.</w:t>
      </w:r>
    </w:p>
    <w:p w14:paraId="6ED2473B" w14:textId="18D81C59" w:rsidR="009170AD" w:rsidRPr="00E539C8" w:rsidRDefault="009170AD" w:rsidP="00E539C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539C8">
        <w:rPr>
          <w:rFonts w:ascii="Times New Roman" w:hAnsi="Times New Roman" w:cs="Times New Roman"/>
          <w:b/>
          <w:bCs/>
        </w:rPr>
        <w:t xml:space="preserve"> Pix se consolidou rapidamente como parte importante desse comportamento transacional</w:t>
      </w:r>
    </w:p>
    <w:p w14:paraId="4E857CC0" w14:textId="6D340756" w:rsidR="009170AD" w:rsidRPr="004F06B8" w:rsidRDefault="009170AD" w:rsidP="004B343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F06B8">
        <w:rPr>
          <w:rFonts w:ascii="Times New Roman" w:hAnsi="Times New Roman" w:cs="Times New Roman"/>
        </w:rPr>
        <w:t xml:space="preserve">O Pix aparece na base a partir de novembro de 2020 e rapidamente ganha participação. </w:t>
      </w:r>
      <w:r w:rsidRPr="00E255AE">
        <w:rPr>
          <w:rFonts w:ascii="Times New Roman" w:hAnsi="Times New Roman" w:cs="Times New Roman"/>
        </w:rPr>
        <w:t xml:space="preserve">Considerando Pix realizado, recebido e Pix Saque, a modalidade representa 25,5% de todas as </w:t>
      </w:r>
      <w:r w:rsidRPr="004B3434">
        <w:rPr>
          <w:rFonts w:ascii="Times New Roman" w:hAnsi="Times New Roman" w:cs="Times New Roman"/>
        </w:rPr>
        <w:t>transações do histórico analisado.</w:t>
      </w:r>
      <w:r w:rsidR="00E255AE" w:rsidRPr="004B3434">
        <w:rPr>
          <w:rFonts w:ascii="Times New Roman" w:hAnsi="Times New Roman" w:cs="Times New Roman"/>
        </w:rPr>
        <w:t xml:space="preserve"> </w:t>
      </w:r>
      <w:r w:rsidRPr="004B3434">
        <w:rPr>
          <w:rFonts w:ascii="Times New Roman" w:hAnsi="Times New Roman" w:cs="Times New Roman"/>
        </w:rPr>
        <w:t>No pico de dezembro de 2022, sua participação chegou a 40,6% das operações, mostrando que, apesar de ser um produto relativamente recente no período analisado, já possui papel relevante no ecossistema transacional do BanVic.</w:t>
      </w:r>
      <w:r w:rsidR="004B3434" w:rsidRPr="004B3434">
        <w:rPr>
          <w:rFonts w:ascii="Times New Roman" w:hAnsi="Times New Roman" w:cs="Times New Roman"/>
        </w:rPr>
        <w:t xml:space="preserve"> </w:t>
      </w:r>
      <w:r w:rsidRPr="004B3434">
        <w:rPr>
          <w:rFonts w:ascii="Times New Roman" w:hAnsi="Times New Roman" w:cs="Times New Roman"/>
        </w:rPr>
        <w:t>Ao mesmo tempo, compras no crédito e débito continuam sendo fundamentais, representando conjuntamente 59,2% das transações históricas.</w:t>
      </w:r>
    </w:p>
    <w:p w14:paraId="720FA764" w14:textId="7D07E853" w:rsidR="009170AD" w:rsidRPr="00E539C8" w:rsidRDefault="009170AD" w:rsidP="00E539C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539C8">
        <w:rPr>
          <w:rFonts w:ascii="Times New Roman" w:hAnsi="Times New Roman" w:cs="Times New Roman"/>
          <w:b/>
          <w:bCs/>
        </w:rPr>
        <w:t xml:space="preserve"> O final de 2022 merece atenção especial</w:t>
      </w:r>
      <w:r w:rsidR="004B3434">
        <w:rPr>
          <w:rFonts w:ascii="Times New Roman" w:hAnsi="Times New Roman" w:cs="Times New Roman"/>
          <w:b/>
          <w:bCs/>
        </w:rPr>
        <w:t xml:space="preserve"> (ver nota introdutória do capítulo)</w:t>
      </w:r>
    </w:p>
    <w:p w14:paraId="4F1297B4" w14:textId="30694743" w:rsidR="009170AD" w:rsidRPr="004F06B8" w:rsidRDefault="009170AD" w:rsidP="004B343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F06B8">
        <w:rPr>
          <w:rFonts w:ascii="Times New Roman" w:hAnsi="Times New Roman" w:cs="Times New Roman"/>
        </w:rPr>
        <w:t xml:space="preserve">O </w:t>
      </w:r>
      <w:r w:rsidRPr="004B3434">
        <w:rPr>
          <w:rFonts w:ascii="Times New Roman" w:hAnsi="Times New Roman" w:cs="Times New Roman"/>
          <w:i/>
          <w:iCs/>
        </w:rPr>
        <w:t>dashboard</w:t>
      </w:r>
      <w:r w:rsidRPr="004F06B8">
        <w:rPr>
          <w:rFonts w:ascii="Times New Roman" w:hAnsi="Times New Roman" w:cs="Times New Roman"/>
        </w:rPr>
        <w:t xml:space="preserve"> evidencia um crescimento excepcional das transações em dezembro de 2022. </w:t>
      </w:r>
      <w:r w:rsidRPr="004B3434">
        <w:rPr>
          <w:rFonts w:ascii="Times New Roman" w:hAnsi="Times New Roman" w:cs="Times New Roman"/>
        </w:rPr>
        <w:t>Foram 25.319 operações, sendo que 80,7% ocorreram somente nos dias 29 e 30 de dezembro.</w:t>
      </w:r>
      <w:r w:rsidR="004B3434">
        <w:rPr>
          <w:rFonts w:ascii="Times New Roman" w:hAnsi="Times New Roman" w:cs="Times New Roman"/>
        </w:rPr>
        <w:t xml:space="preserve"> </w:t>
      </w:r>
      <w:r w:rsidRPr="004F06B8">
        <w:rPr>
          <w:rFonts w:ascii="Times New Roman" w:hAnsi="Times New Roman" w:cs="Times New Roman"/>
        </w:rPr>
        <w:t xml:space="preserve">A concentração não </w:t>
      </w:r>
      <w:r w:rsidRPr="004B3434">
        <w:rPr>
          <w:rFonts w:ascii="Times New Roman" w:hAnsi="Times New Roman" w:cs="Times New Roman"/>
        </w:rPr>
        <w:t>ocorreu apenas em quantidade. As 20 contas com maior movimentação financeira nesses dois dias responderam por aproximadamente 60,5% do valor transacionado, apesar de representarem apenas 3,6% das operações.</w:t>
      </w:r>
    </w:p>
    <w:p w14:paraId="1752C1F0" w14:textId="71F4DFA1" w:rsidR="009170AD" w:rsidRPr="004F06B8" w:rsidRDefault="009170AD" w:rsidP="004B343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F06B8">
        <w:rPr>
          <w:rFonts w:ascii="Times New Roman" w:hAnsi="Times New Roman" w:cs="Times New Roman"/>
        </w:rPr>
        <w:t>Por isso, dezembro</w:t>
      </w:r>
      <w:r w:rsidR="004B3434">
        <w:rPr>
          <w:rFonts w:ascii="Times New Roman" w:hAnsi="Times New Roman" w:cs="Times New Roman"/>
        </w:rPr>
        <w:t xml:space="preserve"> de 2022</w:t>
      </w:r>
      <w:r w:rsidRPr="004F06B8">
        <w:rPr>
          <w:rFonts w:ascii="Times New Roman" w:hAnsi="Times New Roman" w:cs="Times New Roman"/>
        </w:rPr>
        <w:t xml:space="preserve"> deve ser interpretado separadamente das tendências estruturais. O comportamento pode representar uma movimentação excepcional de fim de ano ou alguma particularidade na origem dos dados que precisaria ser investigada antes de orientar decisões comerciais</w:t>
      </w:r>
      <w:r w:rsidR="004B3434">
        <w:rPr>
          <w:rFonts w:ascii="Times New Roman" w:hAnsi="Times New Roman" w:cs="Times New Roman"/>
        </w:rPr>
        <w:t xml:space="preserve"> (provavelmente um ajuste técnico didático)</w:t>
      </w:r>
      <w:r w:rsidRPr="004F06B8">
        <w:rPr>
          <w:rFonts w:ascii="Times New Roman" w:hAnsi="Times New Roman" w:cs="Times New Roman"/>
        </w:rPr>
        <w:t>.</w:t>
      </w:r>
    </w:p>
    <w:p w14:paraId="5CE6DD17" w14:textId="2203318A" w:rsidR="009170AD" w:rsidRPr="00E539C8" w:rsidRDefault="009170AD" w:rsidP="00E539C8">
      <w:pPr>
        <w:pStyle w:val="ListParagraph"/>
        <w:numPr>
          <w:ilvl w:val="0"/>
          <w:numId w:val="2"/>
        </w:numPr>
        <w:spacing w:line="360" w:lineRule="auto"/>
        <w:jc w:val="both"/>
        <w:rPr>
          <w:rFonts w:ascii="Times New Roman" w:hAnsi="Times New Roman" w:cs="Times New Roman"/>
        </w:rPr>
      </w:pPr>
      <w:r w:rsidRPr="00E539C8">
        <w:rPr>
          <w:rFonts w:ascii="Times New Roman" w:hAnsi="Times New Roman" w:cs="Times New Roman"/>
          <w:b/>
          <w:bCs/>
        </w:rPr>
        <w:lastRenderedPageBreak/>
        <w:t xml:space="preserve"> Crédito apresenta oportunidade de acompanhamento, mas com uma limitação importante nos dados</w:t>
      </w:r>
    </w:p>
    <w:p w14:paraId="24F02015" w14:textId="1A4A9181" w:rsidR="009170AD" w:rsidRPr="004B3434" w:rsidRDefault="009170AD" w:rsidP="004B3434">
      <w:pPr>
        <w:spacing w:line="360" w:lineRule="auto"/>
        <w:ind w:firstLine="708"/>
        <w:jc w:val="both"/>
        <w:rPr>
          <w:rFonts w:ascii="Times New Roman" w:hAnsi="Times New Roman" w:cs="Times New Roman"/>
        </w:rPr>
      </w:pPr>
      <w:r w:rsidRPr="004B3434">
        <w:rPr>
          <w:rFonts w:ascii="Times New Roman" w:hAnsi="Times New Roman" w:cs="Times New Roman"/>
        </w:rPr>
        <w:t>A taxa de aprovação das propostas atingiu 31,6% em 2022, acima dos 21,6% observados em 2021. Entretanto, os status das propostas não apresentam comportamento consistente com um funil sequencial tradicional.</w:t>
      </w:r>
      <w:r w:rsidR="004B3434" w:rsidRPr="004B3434">
        <w:rPr>
          <w:rFonts w:ascii="Times New Roman" w:hAnsi="Times New Roman" w:cs="Times New Roman"/>
        </w:rPr>
        <w:t xml:space="preserve"> </w:t>
      </w:r>
      <w:r w:rsidRPr="004B3434">
        <w:rPr>
          <w:rFonts w:ascii="Times New Roman" w:hAnsi="Times New Roman" w:cs="Times New Roman"/>
        </w:rPr>
        <w:t>Por esse motivo, o dashboard permite acompanhar volume, status e aprovação, mas não é adequado interpretar os diferentes status como etapas consecutivas de conversão sem informações adicionais sobre o processo de crédito.</w:t>
      </w:r>
    </w:p>
    <w:p w14:paraId="185F14AA" w14:textId="77777777" w:rsidR="007830C9" w:rsidRPr="004F06B8" w:rsidRDefault="007830C9" w:rsidP="009170AD">
      <w:pPr>
        <w:spacing w:line="360" w:lineRule="auto"/>
        <w:jc w:val="both"/>
        <w:rPr>
          <w:rFonts w:ascii="Times New Roman" w:hAnsi="Times New Roman" w:cs="Times New Roman"/>
        </w:rPr>
      </w:pPr>
    </w:p>
    <w:sectPr w:rsidR="007830C9" w:rsidRPr="004F06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D31DC"/>
    <w:multiLevelType w:val="hybridMultilevel"/>
    <w:tmpl w:val="2708A102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B81B14"/>
    <w:multiLevelType w:val="hybridMultilevel"/>
    <w:tmpl w:val="A8AC6F34"/>
    <w:lvl w:ilvl="0" w:tplc="F4CA7BCC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8986656">
    <w:abstractNumId w:val="0"/>
  </w:num>
  <w:num w:numId="2" w16cid:durableId="7468013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0AD"/>
    <w:rsid w:val="001B4073"/>
    <w:rsid w:val="00422E33"/>
    <w:rsid w:val="004B3434"/>
    <w:rsid w:val="004B6A64"/>
    <w:rsid w:val="004F06B8"/>
    <w:rsid w:val="007830C9"/>
    <w:rsid w:val="009170AD"/>
    <w:rsid w:val="00A953B6"/>
    <w:rsid w:val="00E255AE"/>
    <w:rsid w:val="00E539C8"/>
    <w:rsid w:val="00F53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2B84DB"/>
  <w15:chartTrackingRefBased/>
  <w15:docId w15:val="{FA24FFB1-ADF9-4C77-A335-38B21D93A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0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0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0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0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0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0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0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0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0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0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0A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06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uiPriority w:val="35"/>
    <w:unhideWhenUsed/>
    <w:qFormat/>
    <w:rsid w:val="004F06B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table" w:styleId="GridTable4">
    <w:name w:val="Grid Table 4"/>
    <w:basedOn w:val="TableNormal"/>
    <w:uiPriority w:val="49"/>
    <w:rsid w:val="004F06B8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1124</Words>
  <Characters>6072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Luiz Eduardo Ferreira</dc:creator>
  <cp:keywords/>
  <dc:description/>
  <cp:lastModifiedBy>Luiz Eduardo Ferreira</cp:lastModifiedBy>
  <cp:revision>2</cp:revision>
  <dcterms:created xsi:type="dcterms:W3CDTF">2026-09-22T22:42:00Z</dcterms:created>
  <dcterms:modified xsi:type="dcterms:W3CDTF">2026-09-22T23:48:00Z</dcterms:modified>
</cp:coreProperties>
</file>