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color w:val="2e75b5"/>
          <w:sz w:val="44"/>
          <w:szCs w:val="44"/>
        </w:rPr>
      </w:pPr>
      <w:bookmarkStart w:colFirst="0" w:colLast="0" w:name="_6qxxdaq5ec9c" w:id="0"/>
      <w:bookmarkEnd w:id="0"/>
      <w:r w:rsidDel="00000000" w:rsidR="00000000" w:rsidRPr="00000000">
        <w:rPr>
          <w:rtl w:val="0"/>
        </w:rPr>
        <w:t xml:space="preserve">BanVic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rPr>
          <w:sz w:val="26"/>
          <w:szCs w:val="26"/>
        </w:rPr>
      </w:pPr>
      <w:bookmarkStart w:colFirst="0" w:colLast="0" w:name="_m58ag4xiguci" w:id="1"/>
      <w:bookmarkEnd w:id="1"/>
      <w:r w:rsidDel="00000000" w:rsidR="00000000" w:rsidRPr="00000000">
        <w:rPr>
          <w:rtl w:val="0"/>
        </w:rPr>
        <w:t xml:space="preserve">Formação em Análise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0" w:line="276" w:lineRule="auto"/>
        <w:jc w:val="left"/>
        <w:rPr>
          <w:rFonts w:ascii="Raleway" w:cs="Raleway" w:eastAsia="Raleway" w:hAnsi="Raleway"/>
          <w:color w:val="3098be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0rbec27sluj" w:id="2"/>
      <w:bookmarkEnd w:id="2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https://drive.google.com/drive/u/0/folders/1JRXNtTdeatwJtFe91x9UBH0frIM0g07u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Titillium Web" w:cs="Titillium Web" w:eastAsia="Titillium Web" w:hAnsi="Titillium Web"/>
          <w:color w:val="2e75b5"/>
          <w:sz w:val="34"/>
          <w:szCs w:val="34"/>
        </w:rPr>
      </w:pPr>
      <w:r w:rsidDel="00000000" w:rsidR="00000000" w:rsidRPr="00000000">
        <w:rPr>
          <w:rFonts w:ascii="Titillium Web" w:cs="Titillium Web" w:eastAsia="Titillium Web" w:hAnsi="Titillium Web"/>
          <w:color w:val="2e75b5"/>
          <w:sz w:val="34"/>
          <w:szCs w:val="34"/>
          <w:rtl w:val="0"/>
        </w:rPr>
        <w:t xml:space="preserve">Modelo de Dados</w:t>
      </w:r>
    </w:p>
    <w:p w:rsidR="00000000" w:rsidDel="00000000" w:rsidP="00000000" w:rsidRDefault="00000000" w:rsidRPr="00000000" w14:paraId="0000000A">
      <w:pPr>
        <w:widowControl w:val="0"/>
        <w:rPr>
          <w:rFonts w:ascii="Titillium Web" w:cs="Titillium Web" w:eastAsia="Titillium Web" w:hAnsi="Titillium Web"/>
          <w:color w:val="2e75b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Titillium Web" w:cs="Titillium Web" w:eastAsia="Titillium Web" w:hAnsi="Titillium Web"/>
          <w:color w:val="2e75b5"/>
          <w:sz w:val="34"/>
          <w:szCs w:val="34"/>
        </w:rPr>
      </w:pPr>
      <w:r w:rsidDel="00000000" w:rsidR="00000000" w:rsidRPr="00000000">
        <w:rPr>
          <w:rFonts w:ascii="Titillium Web" w:cs="Titillium Web" w:eastAsia="Titillium Web" w:hAnsi="Titillium Web"/>
          <w:color w:val="2e75b5"/>
          <w:sz w:val="34"/>
          <w:szCs w:val="34"/>
        </w:rPr>
        <w:drawing>
          <wp:inline distB="114300" distT="114300" distL="114300" distR="114300">
            <wp:extent cx="5731200" cy="387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Link para fonte: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https://dbdiagram.io/d/64341fcd8615191cfa8cb6e9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rPr/>
      </w:pPr>
      <w:r w:rsidDel="00000000" w:rsidR="00000000" w:rsidRPr="00000000">
        <w:rPr>
          <w:rFonts w:ascii="Titillium Web" w:cs="Titillium Web" w:eastAsia="Titillium Web" w:hAnsi="Titillium Web"/>
          <w:color w:val="2e75b5"/>
          <w:sz w:val="34"/>
          <w:szCs w:val="34"/>
          <w:rtl w:val="0"/>
        </w:rPr>
        <w:t xml:space="preserve">Narrativa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40.02357482910156"/>
          <w:szCs w:val="40.02357482910156"/>
          <w:rtl w:val="0"/>
        </w:rPr>
        <w:br w:type="textWrapping"/>
      </w:r>
      <w:r w:rsidDel="00000000" w:rsidR="00000000" w:rsidRPr="00000000">
        <w:rPr>
          <w:rtl w:val="0"/>
        </w:rPr>
        <w:t xml:space="preserve">1) Banvic foi fundado em 1o de janeiro de 2010 em SP.</w:t>
      </w:r>
    </w:p>
    <w:p w:rsidR="00000000" w:rsidDel="00000000" w:rsidP="00000000" w:rsidRDefault="00000000" w:rsidRPr="00000000" w14:paraId="0000001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1) Banvic abriu 9 agências nos ultimos 13 anos, sendo 8 físicas e 1 digital</w:t>
      </w:r>
    </w:p>
    <w:p w:rsidR="00000000" w:rsidDel="00000000" w:rsidP="00000000" w:rsidRDefault="00000000" w:rsidRPr="00000000" w14:paraId="0000001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2) a agencia digital passa a ter mais probabilidade de ter contas abertas, logo ela vai dominando os dados.</w:t>
      </w:r>
    </w:p>
    <w:p w:rsidR="00000000" w:rsidDel="00000000" w:rsidP="00000000" w:rsidRDefault="00000000" w:rsidRPr="00000000" w14:paraId="0000001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3) cada conta só pode ser aberta em uma agência que já existia no momento</w:t>
      </w:r>
    </w:p>
    <w:p w:rsidR="00000000" w:rsidDel="00000000" w:rsidP="00000000" w:rsidRDefault="00000000" w:rsidRPr="00000000" w14:paraId="0000001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4) a partir da data de lançamento do PIX em novembro de 2020, começam a ter transações PIX com alta probabilidade</w:t>
      </w:r>
    </w:p>
    <w:p w:rsidR="00000000" w:rsidDel="00000000" w:rsidP="00000000" w:rsidRDefault="00000000" w:rsidRPr="00000000" w14:paraId="0000001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5) sempre que uma conta é aberta tem um deposito inicial que só pode ser em dinheiro ou transferência</w:t>
      </w:r>
    </w:p>
    <w:p w:rsidR="00000000" w:rsidDel="00000000" w:rsidP="00000000" w:rsidRDefault="00000000" w:rsidRPr="00000000" w14:paraId="0000001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6) ao fazer uma nova transferência, o algoritmo verifica se o saldo disponível vai ficar negativo e vai gerando transferências aleatorias até que ela seja possivel (positiva ou menor que o saldo)</w:t>
      </w:r>
    </w:p>
    <w:p w:rsidR="00000000" w:rsidDel="00000000" w:rsidP="00000000" w:rsidRDefault="00000000" w:rsidRPr="00000000" w14:paraId="0000001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7) a abertura de contas é aleatoria mas cresce aproximadamente 10% ao ano</w:t>
      </w:r>
    </w:p>
    <w:p w:rsidR="00000000" w:rsidDel="00000000" w:rsidP="00000000" w:rsidRDefault="00000000" w:rsidRPr="00000000" w14:paraId="0000001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8) o valor das transferências segue uma distribuição lognormal, com multiplicadores diferentes para cada tipo de transação. Usei parâmetros reais que achei na literatura, ficou bem proximo da realidade os tickets e a distribuição (muitas transações pequenas e algumas grandes)</w:t>
      </w:r>
    </w:p>
    <w:p w:rsidR="00000000" w:rsidDel="00000000" w:rsidP="00000000" w:rsidRDefault="00000000" w:rsidRPr="00000000" w14:paraId="0000001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9) o intervalo de tempo entre as transações é o maior desafio, pra ser realista precisa ser relativamente pequeno mas dai precisamos de transações demais por ter 13 anos de dados, fiz umas gambiarras que acho que ficaram legais</w:t>
      </w:r>
    </w:p>
    <w:p w:rsidR="00000000" w:rsidDel="00000000" w:rsidP="00000000" w:rsidRDefault="00000000" w:rsidRPr="00000000" w14:paraId="0000001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10) olhando os dados temos alguns clientes que param as transações antes de 2022, podemos tratá-los como Churn e criar uma narrativa sobre isso</w:t>
      </w:r>
    </w:p>
    <w:p w:rsidR="00000000" w:rsidDel="00000000" w:rsidP="00000000" w:rsidRDefault="00000000" w:rsidRPr="00000000" w14:paraId="0000001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11) Pra narrativa de churn seria legal ter uma outra base externa, um CSV por exemplo, onde adicionamos mais infos sobre os clientes como profissão, renda etc e deliberadamente fazemos dados diferentes entre os clientes churn e não churn</w:t>
      </w:r>
    </w:p>
    <w:p w:rsidR="00000000" w:rsidDel="00000000" w:rsidP="00000000" w:rsidRDefault="00000000" w:rsidRPr="00000000" w14:paraId="0000001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12) limitei a data de transacao pro final de 2022 mas algumas vazaram pra 2023. O problema é que tem um excesso de transações no final de 2022, podemos inventar uma narrativa de uma promoção de cashback nesse período</w:t>
      </w:r>
    </w:p>
    <w:p w:rsidR="00000000" w:rsidDel="00000000" w:rsidP="00000000" w:rsidRDefault="00000000" w:rsidRPr="00000000" w14:paraId="0000001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13) por algum motivo 2021 teve uma queda nos dados, podemos corrigir ou usar alguma narrativa de pandemia, concorrencia etc, que foi corrigida em 2022 (Nosso melhor ano)</w:t>
      </w:r>
    </w:p>
    <w:p w:rsidR="00000000" w:rsidDel="00000000" w:rsidP="00000000" w:rsidRDefault="00000000" w:rsidRPr="00000000" w14:paraId="0000001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14) outra analise legal seria usar uma outra tabela de tarifas ou taxa de transação por tipo de transação e ver o faturamento/lucro do banco. Qual cliente deu mais lucro? Qual agencia? Etc. Fiz um docs com uma série de perguntas que daria pra responder nos dados, vou compartilhar lá no drive</w:t>
      </w:r>
    </w:p>
    <w:p w:rsidR="00000000" w:rsidDel="00000000" w:rsidP="00000000" w:rsidRDefault="00000000" w:rsidRPr="00000000" w14:paraId="0000001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15) a tabela de credito calcula as parcelas usando uma função financeira com parcelas fixas, tabela PRICE.</w:t>
      </w:r>
    </w:p>
    <w:p w:rsidR="00000000" w:rsidDel="00000000" w:rsidP="00000000" w:rsidRDefault="00000000" w:rsidRPr="00000000" w14:paraId="0000001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16) os juros são mensais e variam entre 0,8 e 2,5%</w:t>
      </w:r>
    </w:p>
    <w:p w:rsidR="00000000" w:rsidDel="00000000" w:rsidP="00000000" w:rsidRDefault="00000000" w:rsidRPr="00000000" w14:paraId="0000002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17) uma análise legal é calcular o montante a ser pago em cada proposta de financiamento</w:t>
      </w:r>
    </w:p>
    <w:p w:rsidR="00000000" w:rsidDel="00000000" w:rsidP="00000000" w:rsidRDefault="00000000" w:rsidRPr="00000000" w14:paraId="0000002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18) a tabela de crédito é a que eu menos detalhei, podemos fazer isso sem impactar nas demais porque ela não tem relação direta com transações</w:t>
      </w:r>
    </w:p>
    <w:p w:rsidR="00000000" w:rsidDel="00000000" w:rsidP="00000000" w:rsidRDefault="00000000" w:rsidRPr="00000000" w14:paraId="0000002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19) podemos criar uma outra base de analise de risco e cruzar com as propostas de credito pra fazer uma narrativa legal tb</w:t>
      </w:r>
    </w:p>
    <w:p w:rsidR="00000000" w:rsidDel="00000000" w:rsidP="00000000" w:rsidRDefault="00000000" w:rsidRPr="00000000" w14:paraId="0000002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20) por questões de aleatoriedade algumas transações ficaram muito próximas entre si( minutos ou segundos). Podemos fazer uma analise de fraude ou erro de transação usando elas</w:t>
      </w:r>
    </w:p>
    <w:p w:rsidR="00000000" w:rsidDel="00000000" w:rsidP="00000000" w:rsidRDefault="00000000" w:rsidRPr="00000000" w14:paraId="0000002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79pph845gqwl" w:id="3"/>
      <w:bookmarkEnd w:id="3"/>
      <w:r w:rsidDel="00000000" w:rsidR="00000000" w:rsidRPr="00000000">
        <w:rPr>
          <w:rtl w:val="0"/>
        </w:rPr>
        <w:t xml:space="preserve">Exemplos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ind w:right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wo5wmb3tu9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Análise de Agências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que o BANVIC abriu sua primeira agência fora do estado de SP?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cidades o BanVic possui mais de uma agência física?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o estado com mais agências do BanVic?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foi o impacto da abertura da agência digital no ritmo de abertura de agências físicas por ano? Aumentou ou diminuiu?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ano que o BanVic mais abriu agências físicas?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que a agência digital atingiu 50% das contas totais do banvic?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ind w:right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moftamkmyme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Análise de Clientes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o cliente com maior número de transações?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o cliente com o maior saldo na agência matriz?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o cliente com o maior saldo no estado de SP?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Quantos clientes foram criados em Porto Alegre no último ano?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Considerando que um cliente é considerado como “inativo” se não realizar uma transação em 360 dias, qual a taxa de clientes inativos ao final de 2020?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Digamos que o banco quer promover ações para engajar os clientes. O foco dessa ação serão os clientes inativos. Considerando que um cliente é classificado como “inativo” se não realizar uma transação em 360 dias, qual a taxa de clientes inativos ao final de 2022 que serão o público alvo desta ação?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ind w:right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qbby6gokf0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Análise de Transações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o tempo médio entre transações?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o tipo de transação mais comum para abertura de contas? Dica: é a 1a transação de cada conta.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 média de transações por cliente por ano? Essa média é igual entre as agências?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 maior transação de TED já registrada?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somente os dados de transações do BanVic, quando seria a data de lançamento do Pix?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o total de transações de PIX no último ano?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ind w:right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tob9ujb5u7z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Análise de Propostas de Crédito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 taxa de juros média cobrada pelo BanVic?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agência possui mais propostas de crédito realizadas?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ind w:right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desz4xr9e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Análise Estatística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 média e variância do valor_transacao?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Plote a média e variância do valor_transacao. Ele parece seguir uma distribuição normal?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distribuição Poisson é muito utilizada para calcular a probabilidade da ocorrência de um novo evento em um intervalo fixo de tempo. Suponha que a probabilidade de uma nova transação do Banvic siga uma distribuição Possion com xyz de parâmetro. Qual a probabilidade de uma nova transação ocorrer nos próximo 1 min? </w:t>
      </w:r>
      <w:r w:rsidDel="00000000" w:rsidR="00000000" w:rsidRPr="00000000">
        <w:rPr>
          <w:b w:val="1"/>
          <w:bCs w:val="1"/>
          <w:rtl w:val="0"/>
        </w:rPr>
        <w:t xml:space="preserve">(conferir o cálculo)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120.0393700787413" w:top="1133.8582677165355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tillium Web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Titillium Web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oboto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Titillium Web Light">
    <w:embedRegular w:fontKey="{00000000-0000-0000-0000-000000000000}" r:id="rId25" w:subsetted="0"/>
    <w:embedBold w:fontKey="{00000000-0000-0000-0000-000000000000}" r:id="rId26" w:subsetted="0"/>
    <w:embedItalic w:fontKey="{00000000-0000-0000-0000-000000000000}" r:id="rId27" w:subsetted="0"/>
    <w:embedBoldItalic w:fontKey="{00000000-0000-0000-0000-000000000000}" r:id="rId2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widowControl w:val="0"/>
      <w:spacing w:before="537.0581817626953" w:line="240" w:lineRule="auto"/>
      <w:jc w:val="center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_____________________________________________________________________________________________________________________________________</w:t>
      <w:br w:type="textWrapping"/>
      <w:br w:type="textWrapping"/>
      <w:t xml:space="preserve">Este documento é de uso exclusivo dos clientes e parceiros da Indicium Tecnologia de Dados LTDA </w:t>
    </w:r>
  </w:p>
  <w:p w:rsidR="00000000" w:rsidDel="00000000" w:rsidP="00000000" w:rsidRDefault="00000000" w:rsidRPr="00000000" w14:paraId="0000004B">
    <w:pPr>
      <w:pageBreakBefore w:val="0"/>
      <w:widowControl w:val="0"/>
      <w:spacing w:before="24.981536865234375" w:line="240" w:lineRule="auto"/>
      <w:ind w:left="1986.1064147949219" w:firstLine="0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e não deve ser reproduzido ou compartilhado sem autorização expressa da Indicium.</w:t>
    </w:r>
  </w:p>
  <w:p w:rsidR="00000000" w:rsidDel="00000000" w:rsidP="00000000" w:rsidRDefault="00000000" w:rsidRPr="00000000" w14:paraId="0000004C">
    <w:pPr>
      <w:pageBreakBefore w:val="0"/>
      <w:widowControl w:val="0"/>
      <w:spacing w:before="24.981536865234375" w:line="240" w:lineRule="auto"/>
      <w:ind w:left="1986.1064147949219" w:firstLine="0"/>
      <w:jc w:val="right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widowControl w:val="0"/>
      <w:spacing w:before="537.0581817626953" w:line="240" w:lineRule="auto"/>
      <w:jc w:val="center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_____________________________________________________________________________________________________________________________________</w:t>
      <w:br w:type="textWrapping"/>
      <w:br w:type="textWrapping"/>
      <w:t xml:space="preserve">Este documento é de uso exclusivo dos clientes e parceiros da Indicium Tecnologia de Dados LTDA </w:t>
    </w:r>
  </w:p>
  <w:p w:rsidR="00000000" w:rsidDel="00000000" w:rsidP="00000000" w:rsidRDefault="00000000" w:rsidRPr="00000000" w14:paraId="0000004E">
    <w:pPr>
      <w:pageBreakBefore w:val="0"/>
      <w:widowControl w:val="0"/>
      <w:spacing w:before="24.981536865234375" w:line="240" w:lineRule="auto"/>
      <w:ind w:left="1986.1064147949219" w:firstLine="0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e não deve ser reproduzido ou compartilhado sem autorização expressa da </w:t>
    </w: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Indicium</w:t>
    </w: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.</w:t>
    </w:r>
  </w:p>
  <w:p w:rsidR="00000000" w:rsidDel="00000000" w:rsidP="00000000" w:rsidRDefault="00000000" w:rsidRPr="00000000" w14:paraId="0000004F">
    <w:pPr>
      <w:pageBreakBefore w:val="0"/>
      <w:widowControl w:val="0"/>
      <w:spacing w:before="24.981536865234375" w:line="240" w:lineRule="auto"/>
      <w:ind w:left="1986.1064147949219" w:firstLine="0"/>
      <w:jc w:val="right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>
        <w:rFonts w:ascii="Titillium Web SemiBold" w:cs="Titillium Web SemiBold" w:eastAsia="Titillium Web SemiBold" w:hAnsi="Titillium Web SemiBold"/>
        <w:color w:val="e40134"/>
        <w:sz w:val="44"/>
        <w:szCs w:val="4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615238" cy="1420892"/>
          <wp:effectExtent b="0" l="0" r="0" t="0"/>
          <wp:wrapSquare wrapText="bothSides" distB="0" distT="0" distL="0" distR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5238" cy="142089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pt_BR"/>
      </w:rPr>
    </w:rPrDefault>
    <w:pPrDefault>
      <w:pPr>
        <w:spacing w:before="9.8486328125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Titillium Web" w:cs="Titillium Web" w:eastAsia="Titillium Web" w:hAnsi="Titillium Web"/>
      <w:color w:val="2e75b5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rFonts w:ascii="Titillium Web Light" w:cs="Titillium Web Light" w:eastAsia="Titillium Web Light" w:hAnsi="Titillium Web Light"/>
      <w:color w:val="666666"/>
      <w:sz w:val="28.025188446044922"/>
      <w:szCs w:val="28.0251884460449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right="19.8095703125"/>
    </w:pPr>
    <w:rPr>
      <w:rFonts w:ascii="Roboto Light" w:cs="Roboto Light" w:eastAsia="Roboto Light" w:hAnsi="Roboto Light"/>
      <w:color w:val="666666"/>
      <w:sz w:val="24.020151138305664"/>
      <w:szCs w:val="24.0201511383056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Titillium Web" w:cs="Titillium Web" w:eastAsia="Titillium Web" w:hAnsi="Titillium Web"/>
      <w:color w:val="2e75b5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rFonts w:ascii="Roboto Medium" w:cs="Roboto Medium" w:eastAsia="Roboto Medium" w:hAnsi="Roboto Medium"/>
      <w:color w:val="434343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JRXNtTdeatwJtFe91x9UBH0frIM0g07u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bdiagram.io/d/64341fcd8615191cfa8cb6e9" TargetMode="Externa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TitilliumWeb-boldItalic.ttf"/><Relationship Id="rId22" Type="http://schemas.openxmlformats.org/officeDocument/2006/relationships/font" Target="fonts/RobotoLight-bold.ttf"/><Relationship Id="rId21" Type="http://schemas.openxmlformats.org/officeDocument/2006/relationships/font" Target="fonts/RobotoLight-regular.ttf"/><Relationship Id="rId24" Type="http://schemas.openxmlformats.org/officeDocument/2006/relationships/font" Target="fonts/RobotoLight-boldItalic.ttf"/><Relationship Id="rId23" Type="http://schemas.openxmlformats.org/officeDocument/2006/relationships/font" Target="fonts/RobotoLight-italic.ttf"/><Relationship Id="rId1" Type="http://schemas.openxmlformats.org/officeDocument/2006/relationships/font" Target="fonts/TitilliumWebSemiBold-regular.ttf"/><Relationship Id="rId2" Type="http://schemas.openxmlformats.org/officeDocument/2006/relationships/font" Target="fonts/TitilliumWebSemiBold-bold.ttf"/><Relationship Id="rId3" Type="http://schemas.openxmlformats.org/officeDocument/2006/relationships/font" Target="fonts/TitilliumWebSemiBold-italic.ttf"/><Relationship Id="rId4" Type="http://schemas.openxmlformats.org/officeDocument/2006/relationships/font" Target="fonts/TitilliumWebSemiBold-boldItalic.ttf"/><Relationship Id="rId9" Type="http://schemas.openxmlformats.org/officeDocument/2006/relationships/font" Target="fonts/Roboto-regular.ttf"/><Relationship Id="rId26" Type="http://schemas.openxmlformats.org/officeDocument/2006/relationships/font" Target="fonts/TitilliumWebLight-bold.ttf"/><Relationship Id="rId25" Type="http://schemas.openxmlformats.org/officeDocument/2006/relationships/font" Target="fonts/TitilliumWebLight-regular.ttf"/><Relationship Id="rId28" Type="http://schemas.openxmlformats.org/officeDocument/2006/relationships/font" Target="fonts/TitilliumWebLight-boldItalic.ttf"/><Relationship Id="rId27" Type="http://schemas.openxmlformats.org/officeDocument/2006/relationships/font" Target="fonts/TitilliumWebLight-italic.ttf"/><Relationship Id="rId5" Type="http://schemas.openxmlformats.org/officeDocument/2006/relationships/font" Target="fonts/Raleway-regular.ttf"/><Relationship Id="rId6" Type="http://schemas.openxmlformats.org/officeDocument/2006/relationships/font" Target="fonts/Raleway-bold.ttf"/><Relationship Id="rId7" Type="http://schemas.openxmlformats.org/officeDocument/2006/relationships/font" Target="fonts/Raleway-italic.ttf"/><Relationship Id="rId8" Type="http://schemas.openxmlformats.org/officeDocument/2006/relationships/font" Target="fonts/Raleway-boldItalic.ttf"/><Relationship Id="rId11" Type="http://schemas.openxmlformats.org/officeDocument/2006/relationships/font" Target="fonts/Roboto-italic.ttf"/><Relationship Id="rId10" Type="http://schemas.openxmlformats.org/officeDocument/2006/relationships/font" Target="fonts/Roboto-bold.ttf"/><Relationship Id="rId13" Type="http://schemas.openxmlformats.org/officeDocument/2006/relationships/font" Target="fonts/RobotoMedium-regular.ttf"/><Relationship Id="rId12" Type="http://schemas.openxmlformats.org/officeDocument/2006/relationships/font" Target="fonts/Roboto-boldItalic.ttf"/><Relationship Id="rId15" Type="http://schemas.openxmlformats.org/officeDocument/2006/relationships/font" Target="fonts/RobotoMedium-italic.ttf"/><Relationship Id="rId14" Type="http://schemas.openxmlformats.org/officeDocument/2006/relationships/font" Target="fonts/RobotoMedium-bold.ttf"/><Relationship Id="rId17" Type="http://schemas.openxmlformats.org/officeDocument/2006/relationships/font" Target="fonts/TitilliumWeb-regular.ttf"/><Relationship Id="rId16" Type="http://schemas.openxmlformats.org/officeDocument/2006/relationships/font" Target="fonts/RobotoMedium-boldItalic.ttf"/><Relationship Id="rId19" Type="http://schemas.openxmlformats.org/officeDocument/2006/relationships/font" Target="fonts/TitilliumWeb-italic.ttf"/><Relationship Id="rId18" Type="http://schemas.openxmlformats.org/officeDocument/2006/relationships/font" Target="fonts/TitilliumWeb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