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B348" w14:textId="53DE35BA" w:rsidR="00E539C8" w:rsidRPr="00F47B9C" w:rsidRDefault="00E255AE" w:rsidP="00E539C8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Projeto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 Bank</w:t>
      </w:r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-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Indicium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AI's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Data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Analytics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Certification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–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Luiz Eduardo Ferreira</w:t>
      </w:r>
    </w:p>
    <w:p w14:paraId="2CBD1BAA" w14:textId="014E0966" w:rsidR="00E539C8" w:rsidRPr="00F47B9C" w:rsidRDefault="00F47B9C" w:rsidP="009170AD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Regras de negócio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</w:t>
      </w:r>
      <w:r w:rsidR="00E255AE" w:rsidRPr="00F47B9C">
        <w:rPr>
          <w:rFonts w:ascii="Times New Roman" w:hAnsi="Times New Roman" w:cs="Times New Roman"/>
          <w:sz w:val="20"/>
          <w:szCs w:val="20"/>
        </w:rPr>
        <w:t xml:space="preserve"> - </w:t>
      </w:r>
      <w:r w:rsidR="00E255AE" w:rsidRPr="00F47B9C">
        <w:rPr>
          <w:rFonts w:ascii="Times New Roman" w:hAnsi="Times New Roman" w:cs="Times New Roman"/>
          <w:i/>
          <w:iCs/>
          <w:sz w:val="20"/>
          <w:szCs w:val="20"/>
        </w:rPr>
        <w:t>Commercial Performance Dashboard</w:t>
      </w:r>
    </w:p>
    <w:p w14:paraId="7A81A0BF" w14:textId="77777777" w:rsidR="004B3434" w:rsidRPr="00F47B9C" w:rsidRDefault="004B3434" w:rsidP="009170AD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0DD7971" w14:textId="43D7B1E4" w:rsidR="00E539C8" w:rsidRPr="00F47B9C" w:rsidRDefault="00F47B9C" w:rsidP="009170AD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47B9C">
        <w:rPr>
          <w:rFonts w:ascii="Times New Roman" w:hAnsi="Times New Roman" w:cs="Times New Roman"/>
          <w:b/>
          <w:bCs/>
          <w:i/>
          <w:iCs/>
          <w:sz w:val="28"/>
          <w:szCs w:val="28"/>
        </w:rPr>
        <w:t>Objetivo</w:t>
      </w:r>
      <w:r w:rsidR="00E34A89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desse documento</w:t>
      </w:r>
    </w:p>
    <w:p w14:paraId="3A468661" w14:textId="0037F25C" w:rsidR="00F47B9C" w:rsidRPr="004F06B8" w:rsidRDefault="00F47B9C" w:rsidP="004F06B8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>Este documento tem como objetivo registrar e padronizar as definições, fórmulas, critérios e regras de negócio aplicadas na construção do Dashboard Comercial do BanVic. Busca garantir que analistas, gestores e avaliadores compreendam de forma clara como cada indicador foi calculado, quais premissas foram adotadas e quais ajustes metodológicos foram necessários, assegurando consistência, rastreabilidade e confiabilidade aos resultados apresentados.</w:t>
      </w:r>
    </w:p>
    <w:p w14:paraId="6C347D91" w14:textId="77777777" w:rsidR="004B6A64" w:rsidRDefault="009170AD" w:rsidP="004B6A64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18DD52" wp14:editId="16D7B627">
            <wp:extent cx="5400040" cy="3022600"/>
            <wp:effectExtent l="0" t="0" r="0" b="6350"/>
            <wp:docPr id="114389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0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E41B" w14:textId="14673894" w:rsidR="004B6A64" w:rsidRDefault="004B6A64" w:rsidP="00F534B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1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- </w:t>
      </w:r>
      <w:r w:rsidRPr="00F534BA">
        <w:rPr>
          <w:rFonts w:ascii="Times New Roman" w:hAnsi="Times New Roman" w:cs="Times New Roman"/>
          <w:color w:val="000000" w:themeColor="text1"/>
          <w:sz w:val="20"/>
          <w:szCs w:val="20"/>
        </w:rPr>
        <w:t>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BanVic</w:t>
      </w:r>
    </w:p>
    <w:p w14:paraId="553D8850" w14:textId="04CF76DA" w:rsidR="00E539C8" w:rsidRPr="00F47B9C" w:rsidRDefault="00F47B9C" w:rsidP="00F47B9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Fonte de dados</w:t>
      </w:r>
    </w:p>
    <w:p w14:paraId="2B8A1E78" w14:textId="7F0F8741" w:rsidR="00F47B9C" w:rsidRPr="00F47B9C" w:rsidRDefault="00F47B9C" w:rsidP="00F47B9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Definição</w:t>
      </w:r>
    </w:p>
    <w:p w14:paraId="3DF177D0" w14:textId="73CD718D" w:rsidR="00F47B9C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Os dados utilizados no Dashboard Comercial do BanVic são provenientes dos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disponibilizados para o projeto, abrangendo informações cadastrais, contas, agências, colaboradores, transações e propostas de crédito.</w:t>
      </w:r>
    </w:p>
    <w:p w14:paraId="543E83C0" w14:textId="3907A85D" w:rsidR="004B3434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lastRenderedPageBreak/>
        <w:t xml:space="preserve">Após as etapas de validação, preparação e Análise Exploratória de Dados (EDA), 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tratados foram carregados em um banco de dados PostgreSQL, utilizado como fonte estruturada para consumo e construção do dashboard.</w:t>
      </w:r>
    </w:p>
    <w:p w14:paraId="0429E33E" w14:textId="0096CE72" w:rsidR="00F47B9C" w:rsidRPr="00F47B9C" w:rsidRDefault="00F47B9C" w:rsidP="00F47B9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Configuração do banco de dados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572"/>
      </w:tblGrid>
      <w:tr w:rsidR="00770876" w:rsidRPr="004F06B8" w14:paraId="03D31BC2" w14:textId="77777777" w:rsidTr="00770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3F3FA" w14:textId="4F9D3D48" w:rsidR="00770876" w:rsidRPr="004B6A64" w:rsidRDefault="00770876" w:rsidP="009D4D5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Parâmetro</w:t>
            </w:r>
          </w:p>
        </w:tc>
        <w:tc>
          <w:tcPr>
            <w:tcW w:w="0" w:type="auto"/>
            <w:hideMark/>
          </w:tcPr>
          <w:p w14:paraId="3143AC57" w14:textId="2EAA036E" w:rsidR="00770876" w:rsidRPr="004B6A64" w:rsidRDefault="00770876" w:rsidP="009D4D5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</w:tr>
      <w:tr w:rsidR="00770876" w:rsidRPr="004F06B8" w14:paraId="317C2AD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CA0B7" w14:textId="0B9A7DD0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SGBD</w:t>
            </w:r>
          </w:p>
        </w:tc>
        <w:tc>
          <w:tcPr>
            <w:tcW w:w="0" w:type="auto"/>
            <w:hideMark/>
          </w:tcPr>
          <w:p w14:paraId="2F0E7202" w14:textId="34B9D5C8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</w:p>
        </w:tc>
      </w:tr>
      <w:tr w:rsidR="00770876" w:rsidRPr="004F06B8" w14:paraId="058F3668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41336" w14:textId="28E21DAF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Banco de dados</w:t>
            </w:r>
          </w:p>
        </w:tc>
        <w:tc>
          <w:tcPr>
            <w:tcW w:w="0" w:type="auto"/>
            <w:hideMark/>
          </w:tcPr>
          <w:p w14:paraId="7CE1AC52" w14:textId="2A5F42B6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Banvic_bank_db</w:t>
            </w:r>
          </w:p>
        </w:tc>
      </w:tr>
      <w:tr w:rsidR="00770876" w:rsidRPr="004F06B8" w14:paraId="2821EA2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6DEA3" w14:textId="77CF3D48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Host</w:t>
            </w:r>
          </w:p>
        </w:tc>
        <w:tc>
          <w:tcPr>
            <w:tcW w:w="0" w:type="auto"/>
            <w:hideMark/>
          </w:tcPr>
          <w:p w14:paraId="08380F86" w14:textId="2437816C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localhost</w:t>
            </w:r>
          </w:p>
        </w:tc>
      </w:tr>
      <w:tr w:rsidR="00770876" w:rsidRPr="004F06B8" w14:paraId="2C05953B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076DE" w14:textId="3353A9D5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Porta</w:t>
            </w:r>
          </w:p>
        </w:tc>
        <w:tc>
          <w:tcPr>
            <w:tcW w:w="0" w:type="auto"/>
            <w:hideMark/>
          </w:tcPr>
          <w:p w14:paraId="507CEBED" w14:textId="1CF936B7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5432</w:t>
            </w:r>
          </w:p>
        </w:tc>
      </w:tr>
      <w:tr w:rsidR="00770876" w:rsidRPr="004F06B8" w14:paraId="2EFA5A63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5A7714" w14:textId="390D47A1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</w:t>
            </w:r>
          </w:p>
        </w:tc>
        <w:tc>
          <w:tcPr>
            <w:tcW w:w="0" w:type="auto"/>
          </w:tcPr>
          <w:p w14:paraId="7996F322" w14:textId="76A6C17D" w:rsidR="00770876" w:rsidRPr="00770876" w:rsidRDefault="00770876" w:rsidP="009D4D5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  <w:tr w:rsidR="00770876" w:rsidRPr="004F06B8" w14:paraId="438859A9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BD3F2A" w14:textId="41816C25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</w:t>
            </w:r>
          </w:p>
        </w:tc>
        <w:tc>
          <w:tcPr>
            <w:tcW w:w="0" w:type="auto"/>
          </w:tcPr>
          <w:p w14:paraId="7D2D0792" w14:textId="60CDD4A3" w:rsidR="00770876" w:rsidRPr="00770876" w:rsidRDefault="00770876" w:rsidP="009D4D5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</w:tbl>
    <w:p w14:paraId="6554E033" w14:textId="77777777" w:rsidR="00F47B9C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</w:p>
    <w:p w14:paraId="6B56C3CA" w14:textId="1922DAF0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70876">
        <w:rPr>
          <w:rFonts w:ascii="Times New Roman" w:hAnsi="Times New Roman" w:cs="Times New Roman"/>
          <w:b/>
          <w:bCs/>
        </w:rPr>
        <w:t>*</w:t>
      </w:r>
      <w:r w:rsidRPr="00770876">
        <w:rPr>
          <w:rFonts w:ascii="Times New Roman" w:hAnsi="Times New Roman" w:cs="Times New Roman"/>
          <w:b/>
          <w:bCs/>
        </w:rPr>
        <w:t>N</w:t>
      </w:r>
      <w:r w:rsidRPr="00770876">
        <w:rPr>
          <w:rFonts w:ascii="Times New Roman" w:hAnsi="Times New Roman" w:cs="Times New Roman"/>
          <w:b/>
          <w:bCs/>
          <w:sz w:val="20"/>
          <w:szCs w:val="20"/>
        </w:rPr>
        <w:t>ota</w:t>
      </w:r>
      <w:r w:rsidRPr="00770876">
        <w:rPr>
          <w:rFonts w:ascii="Times New Roman" w:hAnsi="Times New Roman" w:cs="Times New Roman"/>
          <w:sz w:val="20"/>
          <w:szCs w:val="20"/>
        </w:rPr>
        <w:t>: por questões de segurança e governança, as credenciais de autenticação não são registradas nesta documentação. Para obtenção de usuário, senha ou demais informações de acesso, deve-se entrar em contato com o time de TI da empresa.</w:t>
      </w:r>
    </w:p>
    <w:p w14:paraId="36386ECC" w14:textId="395D3DD9" w:rsidR="00770876" w:rsidRPr="00770876" w:rsidRDefault="00770876" w:rsidP="0077087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Estrutura das fontes</w:t>
      </w:r>
      <w:r w:rsidR="00A0658E">
        <w:rPr>
          <w:rFonts w:ascii="Times New Roman" w:hAnsi="Times New Roman" w:cs="Times New Roman"/>
          <w:b/>
          <w:bCs/>
        </w:rPr>
        <w:t xml:space="preserve"> principais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512"/>
        <w:gridCol w:w="1680"/>
        <w:gridCol w:w="1621"/>
      </w:tblGrid>
      <w:tr w:rsidR="00F63F0B" w:rsidRPr="00770876" w14:paraId="7A252B10" w14:textId="630850A2" w:rsidTr="006D2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E2BB47C" w14:textId="77777777" w:rsidR="00F63F0B" w:rsidRPr="00770876" w:rsidRDefault="00F63F0B" w:rsidP="0077087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1559" w:type="dxa"/>
            <w:hideMark/>
          </w:tcPr>
          <w:p w14:paraId="7DB7E218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  <w:tc>
          <w:tcPr>
            <w:tcW w:w="1512" w:type="dxa"/>
            <w:hideMark/>
          </w:tcPr>
          <w:p w14:paraId="1269A5E3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 Primária (PK)</w:t>
            </w:r>
          </w:p>
        </w:tc>
        <w:tc>
          <w:tcPr>
            <w:tcW w:w="1680" w:type="dxa"/>
            <w:hideMark/>
          </w:tcPr>
          <w:p w14:paraId="7A0DAFFB" w14:textId="475DC526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Chaves Estrangeiras (FK)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relacionamentos</w:t>
            </w:r>
          </w:p>
        </w:tc>
        <w:tc>
          <w:tcPr>
            <w:tcW w:w="1621" w:type="dxa"/>
          </w:tcPr>
          <w:p w14:paraId="510A4106" w14:textId="1241D85D" w:rsidR="00F63F0B" w:rsidRPr="00F63F0B" w:rsidRDefault="00F63F0B" w:rsidP="0077087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F63F0B">
              <w:rPr>
                <w:rFonts w:ascii="Times New Roman" w:hAnsi="Times New Roman" w:cs="Times New Roman"/>
                <w:sz w:val="20"/>
                <w:szCs w:val="20"/>
              </w:rPr>
              <w:t>Status relacionamentos</w:t>
            </w:r>
          </w:p>
        </w:tc>
      </w:tr>
      <w:tr w:rsidR="00F63F0B" w:rsidRPr="00770876" w14:paraId="24D2A065" w14:textId="116D6BC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EF200D1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agencias</w:t>
            </w:r>
          </w:p>
        </w:tc>
        <w:tc>
          <w:tcPr>
            <w:tcW w:w="1559" w:type="dxa"/>
            <w:hideMark/>
          </w:tcPr>
          <w:p w14:paraId="25164372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das agências do banco</w:t>
            </w:r>
          </w:p>
        </w:tc>
        <w:tc>
          <w:tcPr>
            <w:tcW w:w="1512" w:type="dxa"/>
            <w:hideMark/>
          </w:tcPr>
          <w:p w14:paraId="62262715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cod_agencia</w:t>
            </w:r>
            <w:proofErr w:type="spellEnd"/>
          </w:p>
        </w:tc>
        <w:tc>
          <w:tcPr>
            <w:tcW w:w="1680" w:type="dxa"/>
            <w:hideMark/>
          </w:tcPr>
          <w:p w14:paraId="6CB63315" w14:textId="18F8BAE0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2DCCA103" w14:textId="4CC32A13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D69D718" w14:textId="1E49C343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600E9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clientes</w:t>
            </w:r>
          </w:p>
        </w:tc>
        <w:tc>
          <w:tcPr>
            <w:tcW w:w="1559" w:type="dxa"/>
            <w:hideMark/>
          </w:tcPr>
          <w:p w14:paraId="631CB72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clientes</w:t>
            </w:r>
          </w:p>
        </w:tc>
        <w:tc>
          <w:tcPr>
            <w:tcW w:w="1512" w:type="dxa"/>
            <w:hideMark/>
          </w:tcPr>
          <w:p w14:paraId="5FAA6BF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  <w:tc>
          <w:tcPr>
            <w:tcW w:w="1680" w:type="dxa"/>
            <w:hideMark/>
          </w:tcPr>
          <w:p w14:paraId="27FDC48B" w14:textId="5D451663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ED4ACA5" w14:textId="7444FD2D" w:rsidR="00F63F0B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7968DC8B" w14:textId="0FEFFE7A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06DA24F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colaboradores</w:t>
            </w:r>
          </w:p>
        </w:tc>
        <w:tc>
          <w:tcPr>
            <w:tcW w:w="1559" w:type="dxa"/>
            <w:hideMark/>
          </w:tcPr>
          <w:p w14:paraId="38F8B4CC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colaboradores</w:t>
            </w:r>
          </w:p>
        </w:tc>
        <w:tc>
          <w:tcPr>
            <w:tcW w:w="1512" w:type="dxa"/>
            <w:hideMark/>
          </w:tcPr>
          <w:p w14:paraId="383CD8F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</w:p>
        </w:tc>
        <w:tc>
          <w:tcPr>
            <w:tcW w:w="1680" w:type="dxa"/>
            <w:hideMark/>
          </w:tcPr>
          <w:p w14:paraId="115B5F6F" w14:textId="506FB44D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5023B35" w14:textId="5B981C6B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EF2481C" w14:textId="41A60C2A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6E1BBAE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colaborador_agencia</w:t>
            </w:r>
            <w:proofErr w:type="spellEnd"/>
          </w:p>
        </w:tc>
        <w:tc>
          <w:tcPr>
            <w:tcW w:w="1559" w:type="dxa"/>
            <w:hideMark/>
          </w:tcPr>
          <w:p w14:paraId="5CE9CD5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Relacionamento entre colaboradores e agências</w:t>
            </w:r>
          </w:p>
        </w:tc>
        <w:tc>
          <w:tcPr>
            <w:tcW w:w="1512" w:type="dxa"/>
            <w:hideMark/>
          </w:tcPr>
          <w:p w14:paraId="107849BF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cod_agencia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680" w:type="dxa"/>
            <w:hideMark/>
          </w:tcPr>
          <w:p w14:paraId="71B1D98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cod_agencia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</w:t>
            </w:r>
          </w:p>
        </w:tc>
        <w:tc>
          <w:tcPr>
            <w:tcW w:w="1621" w:type="dxa"/>
          </w:tcPr>
          <w:p w14:paraId="1A2D6BAC" w14:textId="19D777F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 estão ativos</w:t>
            </w:r>
          </w:p>
        </w:tc>
      </w:tr>
      <w:tr w:rsidR="00F63F0B" w:rsidRPr="00770876" w14:paraId="1B2E303A" w14:textId="5B8852BD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C54BFD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</w:p>
        </w:tc>
        <w:tc>
          <w:tcPr>
            <w:tcW w:w="1559" w:type="dxa"/>
            <w:hideMark/>
          </w:tcPr>
          <w:p w14:paraId="0F00FF6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Contas bancárias e seus vínculos com clientes, agências e colaboradores</w:t>
            </w:r>
          </w:p>
        </w:tc>
        <w:tc>
          <w:tcPr>
            <w:tcW w:w="1512" w:type="dxa"/>
            <w:hideMark/>
          </w:tcPr>
          <w:p w14:paraId="3451F73E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</w:p>
        </w:tc>
        <w:tc>
          <w:tcPr>
            <w:tcW w:w="1680" w:type="dxa"/>
            <w:hideMark/>
          </w:tcPr>
          <w:p w14:paraId="4786D88B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clientes;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cod_agencia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17DB11C7" w14:textId="5682B80D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Todos estão ativos</w:t>
            </w:r>
          </w:p>
        </w:tc>
      </w:tr>
      <w:tr w:rsidR="00F63F0B" w:rsidRPr="00770876" w14:paraId="246B1A46" w14:textId="4A45AF19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5FCF1D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1559" w:type="dxa"/>
            <w:hideMark/>
          </w:tcPr>
          <w:p w14:paraId="63D6BDF7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Histórico das operações financeiras realizadas nas contas</w:t>
            </w:r>
          </w:p>
        </w:tc>
        <w:tc>
          <w:tcPr>
            <w:tcW w:w="1512" w:type="dxa"/>
            <w:hideMark/>
          </w:tcPr>
          <w:p w14:paraId="4042860C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cod_transacao</w:t>
            </w:r>
            <w:proofErr w:type="spellEnd"/>
          </w:p>
        </w:tc>
        <w:tc>
          <w:tcPr>
            <w:tcW w:w="1680" w:type="dxa"/>
            <w:hideMark/>
          </w:tcPr>
          <w:p w14:paraId="531D419E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contas</w:t>
            </w:r>
          </w:p>
        </w:tc>
        <w:tc>
          <w:tcPr>
            <w:tcW w:w="1621" w:type="dxa"/>
          </w:tcPr>
          <w:p w14:paraId="6E5B2793" w14:textId="580F416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Ativo</w:t>
            </w:r>
          </w:p>
        </w:tc>
      </w:tr>
      <w:tr w:rsidR="00F63F0B" w:rsidRPr="00770876" w14:paraId="44816ACB" w14:textId="3A0A15E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BDBBB0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propostas_credito</w:t>
            </w:r>
            <w:proofErr w:type="spellEnd"/>
          </w:p>
        </w:tc>
        <w:tc>
          <w:tcPr>
            <w:tcW w:w="1559" w:type="dxa"/>
            <w:hideMark/>
          </w:tcPr>
          <w:p w14:paraId="77A3064F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 de crédito associadas aos clientes e colaboradores</w:t>
            </w:r>
          </w:p>
        </w:tc>
        <w:tc>
          <w:tcPr>
            <w:tcW w:w="1512" w:type="dxa"/>
            <w:hideMark/>
          </w:tcPr>
          <w:p w14:paraId="4435EDD3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cod_proposta</w:t>
            </w:r>
            <w:proofErr w:type="spellEnd"/>
          </w:p>
        </w:tc>
        <w:tc>
          <w:tcPr>
            <w:tcW w:w="1680" w:type="dxa"/>
            <w:hideMark/>
          </w:tcPr>
          <w:p w14:paraId="63F18B7F" w14:textId="3561B898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2FF74783" w14:textId="60D6F1EE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Ativo apenas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</w:tr>
    </w:tbl>
    <w:p w14:paraId="06119D9F" w14:textId="77777777" w:rsidR="00F63F0B" w:rsidRDefault="00F63F0B" w:rsidP="00770876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264BC35" w14:textId="03163591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3F0B">
        <w:rPr>
          <w:rFonts w:ascii="Times New Roman" w:hAnsi="Times New Roman" w:cs="Times New Roman"/>
          <w:b/>
          <w:bCs/>
          <w:sz w:val="20"/>
          <w:szCs w:val="20"/>
        </w:rPr>
        <w:t>*Nota: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70876">
        <w:rPr>
          <w:rFonts w:ascii="Times New Roman" w:hAnsi="Times New Roman" w:cs="Times New Roman"/>
          <w:sz w:val="20"/>
          <w:szCs w:val="20"/>
        </w:rPr>
        <w:t>p</w:t>
      </w:r>
      <w:r w:rsidRPr="00770876">
        <w:rPr>
          <w:rFonts w:ascii="Times New Roman" w:hAnsi="Times New Roman" w:cs="Times New Roman"/>
          <w:sz w:val="20"/>
          <w:szCs w:val="20"/>
        </w:rPr>
        <w:t xml:space="preserve">ara </w:t>
      </w:r>
      <w:proofErr w:type="spellStart"/>
      <w:r w:rsidRPr="00770876">
        <w:rPr>
          <w:rFonts w:ascii="Times New Roman" w:hAnsi="Times New Roman" w:cs="Times New Roman"/>
          <w:sz w:val="20"/>
          <w:szCs w:val="20"/>
        </w:rPr>
        <w:t>colaborador_agencia</w:t>
      </w:r>
      <w:proofErr w:type="spellEnd"/>
      <w:r w:rsidRPr="00770876">
        <w:rPr>
          <w:rFonts w:ascii="Times New Roman" w:hAnsi="Times New Roman" w:cs="Times New Roman"/>
          <w:sz w:val="20"/>
          <w:szCs w:val="20"/>
        </w:rPr>
        <w:t xml:space="preserve">, o par de campos </w:t>
      </w:r>
      <w:r w:rsidRPr="00770876">
        <w:rPr>
          <w:rFonts w:ascii="Times New Roman" w:hAnsi="Times New Roman" w:cs="Times New Roman"/>
          <w:sz w:val="20"/>
          <w:szCs w:val="20"/>
        </w:rPr>
        <w:t>é uma</w:t>
      </w:r>
      <w:r w:rsidRPr="00770876">
        <w:rPr>
          <w:rFonts w:ascii="Times New Roman" w:hAnsi="Times New Roman" w:cs="Times New Roman"/>
          <w:sz w:val="20"/>
          <w:szCs w:val="20"/>
        </w:rPr>
        <w:t xml:space="preserve"> chave composta de relacionamento</w:t>
      </w:r>
      <w:r w:rsidRPr="00770876">
        <w:rPr>
          <w:rFonts w:ascii="Times New Roman" w:hAnsi="Times New Roman" w:cs="Times New Roman"/>
          <w:sz w:val="20"/>
          <w:szCs w:val="20"/>
        </w:rPr>
        <w:t>.</w:t>
      </w:r>
    </w:p>
    <w:p w14:paraId="65893A36" w14:textId="761F64A7" w:rsidR="00A0658E" w:rsidRPr="00770876" w:rsidRDefault="00A0658E" w:rsidP="00A0658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Tabelas de apoio</w:t>
      </w:r>
    </w:p>
    <w:p w14:paraId="5E9203A3" w14:textId="09D2EF49" w:rsidR="00770876" w:rsidRPr="006D258C" w:rsidRDefault="006D258C" w:rsidP="006D258C">
      <w:pPr>
        <w:spacing w:line="360" w:lineRule="auto"/>
        <w:ind w:firstLine="708"/>
        <w:jc w:val="both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</w:rPr>
      </w:pPr>
      <w:r w:rsidRPr="006D258C">
        <w:rPr>
          <w:rFonts w:ascii="Times New Roman" w:hAnsi="Times New Roman" w:cs="Times New Roman"/>
        </w:rPr>
        <w:t xml:space="preserve">Além das fontes principais, foram criadas tabelas de apoio no </w:t>
      </w:r>
      <w:r w:rsidRPr="006D258C">
        <w:rPr>
          <w:rFonts w:ascii="Times New Roman" w:hAnsi="Times New Roman" w:cs="Times New Roman"/>
          <w:i/>
          <w:iCs/>
        </w:rPr>
        <w:t>dashboard</w:t>
      </w:r>
      <w:r w:rsidRPr="006D258C">
        <w:rPr>
          <w:rFonts w:ascii="Times New Roman" w:hAnsi="Times New Roman" w:cs="Times New Roman"/>
        </w:rPr>
        <w:t xml:space="preserve"> do Power BI. Essas tabelas têm como objetivo organizar as medidas, padronizar classificações, apoiar análises temporais e viabilizar os cálculos dos indicadores apresentados no dashboard.</w:t>
      </w:r>
    </w:p>
    <w:tbl>
      <w:tblPr>
        <w:tblStyle w:val="ListTable4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2146"/>
        <w:gridCol w:w="3943"/>
      </w:tblGrid>
      <w:tr w:rsidR="006D258C" w:rsidRPr="006D258C" w14:paraId="2FA7C114" w14:textId="77777777" w:rsidTr="006D2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07B2E8A1" w14:textId="77777777" w:rsidR="006D258C" w:rsidRPr="006D258C" w:rsidRDefault="006D258C" w:rsidP="006D258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2146" w:type="dxa"/>
            <w:hideMark/>
          </w:tcPr>
          <w:p w14:paraId="75930E2D" w14:textId="77777777" w:rsidR="006D258C" w:rsidRPr="006D258C" w:rsidRDefault="006D258C" w:rsidP="006D258C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Tipo</w:t>
            </w:r>
          </w:p>
        </w:tc>
        <w:tc>
          <w:tcPr>
            <w:tcW w:w="3943" w:type="dxa"/>
            <w:hideMark/>
          </w:tcPr>
          <w:p w14:paraId="2593BC33" w14:textId="77777777" w:rsidR="006D258C" w:rsidRPr="006D258C" w:rsidRDefault="006D258C" w:rsidP="006D258C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Definição / Finalidade</w:t>
            </w:r>
          </w:p>
        </w:tc>
      </w:tr>
      <w:tr w:rsidR="006D258C" w:rsidRPr="006D258C" w14:paraId="1F9405B0" w14:textId="77777777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1A6D9DB" w14:textId="77777777" w:rsidR="006D258C" w:rsidRPr="006D258C" w:rsidRDefault="006D258C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a-métricas</w:t>
            </w:r>
            <w:proofErr w:type="spellEnd"/>
          </w:p>
        </w:tc>
        <w:tc>
          <w:tcPr>
            <w:tcW w:w="2146" w:type="dxa"/>
            <w:hideMark/>
          </w:tcPr>
          <w:p w14:paraId="09008C3D" w14:textId="77777777" w:rsidR="006D258C" w:rsidRPr="006D258C" w:rsidRDefault="006D258C" w:rsidP="006D258C">
            <w:pPr>
              <w:spacing w:after="16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de medidas</w:t>
            </w:r>
          </w:p>
        </w:tc>
        <w:tc>
          <w:tcPr>
            <w:tcW w:w="3943" w:type="dxa"/>
            <w:hideMark/>
          </w:tcPr>
          <w:p w14:paraId="7510C64A" w14:textId="77777777" w:rsidR="006D258C" w:rsidRPr="006D258C" w:rsidRDefault="006D258C" w:rsidP="006D258C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Centraliza as medidas DAX utilizadas nos KPIs e visualizações, facilitando a organização e manutenção do modelo.</w:t>
            </w:r>
          </w:p>
        </w:tc>
      </w:tr>
      <w:tr w:rsidR="006D258C" w:rsidRPr="006D258C" w14:paraId="6C4B5AD0" w14:textId="77777777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0CAAEDB5" w14:textId="77777777" w:rsidR="006D258C" w:rsidRPr="006D258C" w:rsidRDefault="006D258C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status_proposta</w:t>
            </w:r>
            <w:proofErr w:type="spellEnd"/>
          </w:p>
        </w:tc>
        <w:tc>
          <w:tcPr>
            <w:tcW w:w="2146" w:type="dxa"/>
            <w:hideMark/>
          </w:tcPr>
          <w:p w14:paraId="146DF825" w14:textId="77777777" w:rsidR="006D258C" w:rsidRPr="006D258C" w:rsidRDefault="006D258C" w:rsidP="006D258C">
            <w:pPr>
              <w:spacing w:after="16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auxiliar</w:t>
            </w:r>
          </w:p>
        </w:tc>
        <w:tc>
          <w:tcPr>
            <w:tcW w:w="3943" w:type="dxa"/>
            <w:hideMark/>
          </w:tcPr>
          <w:p w14:paraId="59D5708B" w14:textId="77777777" w:rsidR="006D258C" w:rsidRPr="006D258C" w:rsidRDefault="006D258C" w:rsidP="006D258C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Define a ordenação dos status das propostas de crédito, garantindo uma sequência padronizada nas visualizações.</w:t>
            </w:r>
          </w:p>
        </w:tc>
      </w:tr>
      <w:tr w:rsidR="006D258C" w:rsidRPr="006D258C" w14:paraId="194FCC76" w14:textId="77777777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21E7C0FF" w14:textId="77777777" w:rsidR="006D258C" w:rsidRPr="006D258C" w:rsidRDefault="006D258C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tabela_atividade_clientes_por_ano</w:t>
            </w:r>
            <w:proofErr w:type="spellEnd"/>
          </w:p>
        </w:tc>
        <w:tc>
          <w:tcPr>
            <w:tcW w:w="2146" w:type="dxa"/>
            <w:hideMark/>
          </w:tcPr>
          <w:p w14:paraId="52E3AB9C" w14:textId="77777777" w:rsidR="006D258C" w:rsidRPr="006D258C" w:rsidRDefault="006D258C" w:rsidP="006D258C">
            <w:pPr>
              <w:spacing w:after="16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calculada</w:t>
            </w:r>
          </w:p>
        </w:tc>
        <w:tc>
          <w:tcPr>
            <w:tcW w:w="3943" w:type="dxa"/>
            <w:hideMark/>
          </w:tcPr>
          <w:p w14:paraId="033B69A0" w14:textId="77777777" w:rsidR="006D258C" w:rsidRPr="006D258C" w:rsidRDefault="006D258C" w:rsidP="006D258C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 xml:space="preserve">Estrutura a situação anual dos clientes, permitindo identificar clientes elegíveis, ativos e sem transações, além de servir como base para cálculos relacionados à atividade e 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D258C" w:rsidRPr="006D258C" w14:paraId="176734AE" w14:textId="77777777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25637A3A" w14:textId="77777777" w:rsidR="006D258C" w:rsidRPr="006D258C" w:rsidRDefault="006D258C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-propostas</w:t>
            </w:r>
          </w:p>
        </w:tc>
        <w:tc>
          <w:tcPr>
            <w:tcW w:w="2146" w:type="dxa"/>
            <w:hideMark/>
          </w:tcPr>
          <w:p w14:paraId="7454C5C1" w14:textId="77777777" w:rsidR="006D258C" w:rsidRPr="006D258C" w:rsidRDefault="006D258C" w:rsidP="006D258C">
            <w:pPr>
              <w:spacing w:after="16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</w:p>
        </w:tc>
        <w:tc>
          <w:tcPr>
            <w:tcW w:w="3943" w:type="dxa"/>
            <w:hideMark/>
          </w:tcPr>
          <w:p w14:paraId="73337046" w14:textId="77777777" w:rsidR="006D258C" w:rsidRPr="006D258C" w:rsidRDefault="006D258C" w:rsidP="006D258C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utilizada nas análises de propostas de crédito, permitindo filtros e agrupamentos por período.</w:t>
            </w:r>
          </w:p>
        </w:tc>
      </w:tr>
      <w:tr w:rsidR="006D258C" w:rsidRPr="006D258C" w14:paraId="668822D8" w14:textId="77777777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6D5CA570" w14:textId="77777777" w:rsidR="006D258C" w:rsidRPr="006D258C" w:rsidRDefault="006D258C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-contas</w:t>
            </w:r>
          </w:p>
        </w:tc>
        <w:tc>
          <w:tcPr>
            <w:tcW w:w="2146" w:type="dxa"/>
            <w:hideMark/>
          </w:tcPr>
          <w:p w14:paraId="1643BCAA" w14:textId="77777777" w:rsidR="006D258C" w:rsidRPr="006D258C" w:rsidRDefault="006D258C" w:rsidP="006D258C">
            <w:pPr>
              <w:spacing w:after="16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</w:p>
        </w:tc>
        <w:tc>
          <w:tcPr>
            <w:tcW w:w="3943" w:type="dxa"/>
            <w:hideMark/>
          </w:tcPr>
          <w:p w14:paraId="3FA98CB7" w14:textId="77777777" w:rsidR="006D258C" w:rsidRPr="006D258C" w:rsidRDefault="006D258C" w:rsidP="006D258C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compartilhada pelas análises de transações e contas, permitindo filtros e agrupamentos por período.</w:t>
            </w:r>
          </w:p>
        </w:tc>
      </w:tr>
    </w:tbl>
    <w:p w14:paraId="185F14AA" w14:textId="77777777" w:rsidR="007830C9" w:rsidRDefault="007830C9" w:rsidP="009170AD">
      <w:pPr>
        <w:spacing w:line="360" w:lineRule="auto"/>
        <w:jc w:val="both"/>
        <w:rPr>
          <w:rFonts w:ascii="Times New Roman" w:hAnsi="Times New Roman" w:cs="Times New Roman"/>
        </w:rPr>
      </w:pPr>
    </w:p>
    <w:p w14:paraId="388FF4DA" w14:textId="7A659C43" w:rsidR="006D258C" w:rsidRPr="006D258C" w:rsidRDefault="006D258C" w:rsidP="006D258C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Pr="006D258C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Pr="006D258C">
        <w:rPr>
          <w:rFonts w:ascii="Times New Roman" w:hAnsi="Times New Roman" w:cs="Times New Roman"/>
          <w:sz w:val="20"/>
          <w:szCs w:val="20"/>
        </w:rPr>
        <w:t xml:space="preserve"> As regras de construção, fórmulas DAX e demais códigos utilizados para gerar essas tabelas serão detalhados nas seções específicas deste documento.</w:t>
      </w:r>
    </w:p>
    <w:sectPr w:rsidR="006D258C" w:rsidRPr="006D25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623F9"/>
    <w:multiLevelType w:val="hybridMultilevel"/>
    <w:tmpl w:val="1474E8A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D31DC"/>
    <w:multiLevelType w:val="hybridMultilevel"/>
    <w:tmpl w:val="2708A10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B764D"/>
    <w:multiLevelType w:val="hybridMultilevel"/>
    <w:tmpl w:val="A8AC6F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81B14"/>
    <w:multiLevelType w:val="hybridMultilevel"/>
    <w:tmpl w:val="40AC5766"/>
    <w:lvl w:ilvl="0" w:tplc="F4CA7B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986656">
    <w:abstractNumId w:val="1"/>
  </w:num>
  <w:num w:numId="2" w16cid:durableId="746801363">
    <w:abstractNumId w:val="3"/>
  </w:num>
  <w:num w:numId="3" w16cid:durableId="897205192">
    <w:abstractNumId w:val="2"/>
  </w:num>
  <w:num w:numId="4" w16cid:durableId="801192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AD"/>
    <w:rsid w:val="001B4073"/>
    <w:rsid w:val="00422E33"/>
    <w:rsid w:val="004B3434"/>
    <w:rsid w:val="004B6A64"/>
    <w:rsid w:val="004F06B8"/>
    <w:rsid w:val="006D258C"/>
    <w:rsid w:val="00770876"/>
    <w:rsid w:val="007830C9"/>
    <w:rsid w:val="009170AD"/>
    <w:rsid w:val="00A0658E"/>
    <w:rsid w:val="00A953B6"/>
    <w:rsid w:val="00CB2826"/>
    <w:rsid w:val="00E255AE"/>
    <w:rsid w:val="00E34A89"/>
    <w:rsid w:val="00E539C8"/>
    <w:rsid w:val="00F47B9C"/>
    <w:rsid w:val="00F534BA"/>
    <w:rsid w:val="00F6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B84DB"/>
  <w15:chartTrackingRefBased/>
  <w15:docId w15:val="{FA24FFB1-ADF9-4C77-A335-38B21D93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B9C"/>
  </w:style>
  <w:style w:type="paragraph" w:styleId="Heading1">
    <w:name w:val="heading 1"/>
    <w:basedOn w:val="Normal"/>
    <w:next w:val="Normal"/>
    <w:link w:val="Heading1Char"/>
    <w:uiPriority w:val="9"/>
    <w:qFormat/>
    <w:rsid w:val="0091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06B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">
    <w:name w:val="Grid Table 4"/>
    <w:basedOn w:val="TableNormal"/>
    <w:uiPriority w:val="49"/>
    <w:rsid w:val="004F06B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0876"/>
    <w:rPr>
      <w:rFonts w:ascii="Courier New" w:eastAsia="Times New Roman" w:hAnsi="Courier New" w:cs="Courier New"/>
      <w:sz w:val="20"/>
      <w:szCs w:val="20"/>
    </w:rPr>
  </w:style>
  <w:style w:type="table" w:styleId="ListTable4">
    <w:name w:val="List Table 4"/>
    <w:basedOn w:val="TableNormal"/>
    <w:uiPriority w:val="49"/>
    <w:rsid w:val="006D25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618</Words>
  <Characters>3342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Eduardo Ferreira</dc:creator>
  <cp:keywords/>
  <dc:description/>
  <cp:lastModifiedBy>Luiz Eduardo Ferreira</cp:lastModifiedBy>
  <cp:revision>10</cp:revision>
  <dcterms:created xsi:type="dcterms:W3CDTF">2026-09-22T22:42:00Z</dcterms:created>
  <dcterms:modified xsi:type="dcterms:W3CDTF">2026-09-23T16:14:00Z</dcterms:modified>
</cp:coreProperties>
</file>