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1F3864"/>
          <w:sz w:val="26"/>
          <w:szCs w:val="26"/>
        </w:rPr>
        <w:t xml:space="preserve">UNIVERSIDADE FEDERAL DE PERNAMBUCO</w:t>
      </w:r>
    </w:p>
    <w:p>
      <w:pPr>
        <w:spacing w:after="240"/>
        <w:jc w:val="center"/>
      </w:pPr>
      <w:r>
        <w:rPr>
          <w:rFonts w:ascii="Arial" w:cs="Arial" w:eastAsia="Arial" w:hAnsi="Arial"/>
          <w:color w:val="1F3864"/>
          <w:sz w:val="24"/>
          <w:szCs w:val="24"/>
        </w:rPr>
        <w:t xml:space="preserve">Centro de Informática – CIn/UFPE</w:t>
      </w:r>
    </w:p>
    <w:p>
      <w:pPr>
        <w:spacing w:after="120"/>
      </w:pPr>
      <w:r>
        <w:t xml:space="preserve"/>
      </w:r>
    </w:p>
    <w:p>
      <w:pPr>
        <w:spacing w:after="120"/>
      </w:pPr>
      <w:r>
        <w:t xml:space="preserve"/>
      </w:r>
    </w:p>
    <w:p>
      <w:pPr>
        <w:spacing w:after="120"/>
      </w:pPr>
      <w:r>
        <w:t xml:space="preserve"/>
      </w:r>
    </w:p>
    <w:p>
      <w:pPr>
        <w:spacing w:after="300"/>
        <w:jc w:val="center"/>
      </w:pPr>
      <w:r>
        <w:rPr>
          <w:rFonts w:ascii="Arial" w:cs="Arial" w:eastAsia="Arial" w:hAnsi="Arial"/>
          <w:b/>
          <w:bCs/>
          <w:color w:val="1F3864"/>
          <w:sz w:val="52"/>
          <w:szCs w:val="52"/>
        </w:rPr>
        <w:t xml:space="preserve">Projeto AM 2026-1</w:t>
      </w:r>
    </w:p>
    <w:p>
      <w:pPr>
        <w:spacing w:after="200"/>
        <w:jc w:val="center"/>
      </w:pPr>
      <w:r>
        <w:rPr>
          <w:rFonts w:ascii="Arial" w:cs="Arial" w:eastAsia="Arial" w:hAnsi="Arial"/>
          <w:color w:val="2E5FA3"/>
          <w:sz w:val="32"/>
          <w:szCs w:val="32"/>
        </w:rPr>
        <w:t xml:space="preserve">Relatório de Resolução</w:t>
      </w:r>
    </w:p>
    <w:p>
      <w:pPr>
        <w:spacing w:after="120"/>
      </w:pPr>
      <w:r>
        <w:t xml:space="preserve"/>
      </w:r>
    </w:p>
    <w:p>
      <w:pPr>
        <w:spacing w:after="120"/>
      </w:pPr>
      <w:r>
        <w:t xml:space="preserve"/>
      </w:r>
    </w:p>
    <w:p>
      <w:pPr>
        <w:spacing w:after="160"/>
        <w:jc w:val="center"/>
      </w:pPr>
      <w:r>
        <w:rPr>
          <w:rFonts w:ascii="Arial" w:cs="Arial" w:eastAsia="Arial" w:hAnsi="Arial"/>
          <w:sz w:val="24"/>
          <w:szCs w:val="24"/>
        </w:rPr>
        <w:t xml:space="preserve">Disciplina: Aprendizado de Máquina</w:t>
      </w:r>
    </w:p>
    <w:p>
      <w:pPr>
        <w:spacing w:after="160"/>
        <w:jc w:val="center"/>
      </w:pPr>
      <w:r>
        <w:rPr>
          <w:rFonts w:ascii="Arial" w:cs="Arial" w:eastAsia="Arial" w:hAnsi="Arial"/>
          <w:sz w:val="24"/>
          <w:szCs w:val="24"/>
        </w:rPr>
        <w:t xml:space="preserve">Professor: Francisco de A. T. de Carvalho</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60"/>
        <w:jc w:val="center"/>
      </w:pPr>
      <w:r>
        <w:rPr>
          <w:rFonts w:ascii="Arial" w:cs="Arial" w:eastAsia="Arial" w:hAnsi="Arial"/>
          <w:sz w:val="22"/>
          <w:szCs w:val="22"/>
        </w:rPr>
        <w:t xml:space="preserve">Recife, Junho de 2026</w:t>
      </w:r>
    </w:p>
    <w:p>
      <w:r>
        <w:br w:type="page"/>
      </w:r>
    </w:p>
    <w:p>
      <w:pPr>
        <w:sectPr>
          <w:pgSz w:w="11906" w:h="16838" w:orient="portrait"/>
          <w:pgMar w:top="1440" w:right="1440" w:bottom="1440" w:left="144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Introdução</w:t>
      </w:r>
    </w:p>
    <w:p>
      <w:pPr>
        <w:spacing w:after="160" w:line="276"/>
        <w:jc w:val="both"/>
      </w:pPr>
      <w:r>
        <w:rPr>
          <w:rFonts w:ascii="Arial" w:cs="Arial" w:eastAsia="Arial" w:hAnsi="Arial"/>
          <w:sz w:val="22"/>
          <w:szCs w:val="22"/>
        </w:rPr>
        <w:t xml:space="preserve">Este relatório documenta a resolução do Projeto AM 2026-1, proposto pelo Prof. Francisco de A. T. de Carvalho do Centro de Informática da UFPE. O projeto é composto por duas questões principais que exploram, respectivamente, algoritmos de agrupamento baseados em kernel gaussiano e métodos de classificação supervisionada com avaliação estatística rigorosa, ambos aplicados ao conjunto de dados Ionosphere do repositório UCI.</w:t>
      </w:r>
    </w:p>
    <w:p>
      <w:pPr>
        <w:spacing w:after="160" w:line="276"/>
        <w:jc w:val="both"/>
      </w:pPr>
      <w:r>
        <w:rPr>
          <w:rFonts w:ascii="Arial" w:cs="Arial" w:eastAsia="Arial" w:hAnsi="Arial"/>
          <w:sz w:val="22"/>
          <w:szCs w:val="22"/>
        </w:rPr>
        <w:t xml:space="preserve">A Questão 1 aborda a implementação e experimentação com a variante KCM-K-GH do algoritmo KCM-K-H (Kernel C-Means Hard com kernel Gaussiano), cujos fundamentos teóricos estão descritos no artigo de referência de Carvalho et al. (2018), publicado no periódico Pattern Recognition. A Questão 2 envolve a avaliação comparativa de cinco classificadores bayesianos e supervisionados sobre duas versões do mesmo conjunto de dados, utilizando validação cruzada estratificada, estimativas pontuais e intervalos de confiança, o teste de Friedman com pós-teste de Nemenyi, e curvas de aprendizagem para a métrica F-measure.</w:t>
      </w:r>
    </w:p>
    <w:p>
      <w:pPr>
        <w:spacing w:after="160" w:line="276"/>
        <w:jc w:val="both"/>
      </w:pPr>
      <w:r>
        <w:rPr>
          <w:rFonts w:ascii="Arial" w:cs="Arial" w:eastAsia="Arial" w:hAnsi="Arial"/>
          <w:sz w:val="22"/>
          <w:szCs w:val="22"/>
        </w:rPr>
        <w:t xml:space="preserve">O relatório está organizado de modo que cada seção descreve a metodologia adotada, as decisões de implementação, os resultados obtidos e a análise crítica correspondente, seguindo a estrutura exigida pelo enunciado do projeto.</w:t>
      </w:r>
    </w:p>
    <w:p>
      <w:r>
        <w:br w:type="page"/>
      </w:r>
    </w:p>
    <w:p>
      <w:pPr>
        <w:pStyle w:val="Heading1"/>
      </w:pPr>
      <w:r>
        <w:t xml:space="preserve">2. Conjunto de Dados: Ionosphere</w:t>
      </w:r>
    </w:p>
    <w:p>
      <w:pPr>
        <w:spacing w:after="160" w:line="276"/>
        <w:jc w:val="both"/>
      </w:pPr>
      <w:r>
        <w:rPr>
          <w:rFonts w:ascii="Arial" w:cs="Arial" w:eastAsia="Arial" w:hAnsi="Arial"/>
          <w:sz w:val="22"/>
          <w:szCs w:val="22"/>
        </w:rPr>
        <w:t xml:space="preserve">O dataset Ionosphere, disponível no Repositório UCI de Machine Learning, é amplamente utilizado como benchmark em tarefas de classificação e agrupamento. Ele contém 351 instâncias descritas por 34 atributos contínuos, resultado de medições de radar coletadas por um sistema em Goose Bay, Labrador. Cada instância pertence a uma de duas classes: 'g' (good), indicando que o radar detectou estrutura na ionosfera, ou 'b' (bad), indicando ausência de estrutura. A classe 'g' corresponde a 225 instâncias (≈ 64%) e a classe 'b' a 126 (≈ 36%), caracterizando um leve desbalanceamento.</w:t>
      </w:r>
    </w:p>
    <w:p>
      <w:pPr>
        <w:spacing w:after="160" w:line="276"/>
        <w:jc w:val="both"/>
      </w:pPr>
      <w:r>
        <w:rPr>
          <w:rFonts w:ascii="Arial" w:cs="Arial" w:eastAsia="Arial" w:hAnsi="Arial"/>
          <w:sz w:val="22"/>
          <w:szCs w:val="22"/>
        </w:rPr>
        <w:t xml:space="preserve">No pré-processamento aplicado, o segundo atributo foi removido por apresentar variância zero em toda a base (todos os valores iguais a zero), resultando em 33 atributos efetivos. Em seguida, os dados foram normalizados com o StandardScaler (média zero e desvio padrão unitário por variável), garantindo que diferenças de escala não influenciem os algoritmos baseados em distância ou kernel.</w:t>
      </w:r>
    </w:p>
    <w:p>
      <w:pPr>
        <w:spacing w:after="160" w:line="276"/>
        <w:jc w:val="both"/>
      </w:pPr>
      <w:r>
        <w:rPr>
          <w:rFonts w:ascii="Arial" w:cs="Arial" w:eastAsia="Arial" w:hAnsi="Arial"/>
          <w:sz w:val="22"/>
          <w:szCs w:val="22"/>
        </w:rPr>
        <w:t xml:space="preserve">Para a Questão 2, duas versões do dataset foram consideradas: a Versão 1 utiliza as classes originais a priori ('g'/'b' codificadas como 1/0), e a Versão 2 substitui o rótulo de classe pelo vetor de clusters obtido pela melhor execução do KCM-K-GH na Questão 1, com o número ótimo de clusters c* determinado pelo coeficiente de silhueta.</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w:t>
            </w:r>
          </w:p>
        </w:tc>
        <w:tc>
          <w:tcPr>
            <w:tcW w:type="dxa" w:w="45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Número de instâncias</w:t>
            </w:r>
          </w:p>
        </w:tc>
        <w:tc>
          <w:tcPr>
            <w:tcW w:type="dxa" w:w="4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351</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Número de atributos originais</w:t>
            </w:r>
          </w:p>
        </w:tc>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34</w:t>
            </w:r>
          </w:p>
        </w:tc>
      </w:tr>
      <w:tr>
        <w:tc>
          <w:tcPr>
            <w:tcW w:type="dxa" w:w="4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Atributos após remoção de colunas constantes</w:t>
            </w:r>
          </w:p>
        </w:tc>
        <w:tc>
          <w:tcPr>
            <w:tcW w:type="dxa" w:w="4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33</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Classes (Versão 1)</w:t>
            </w:r>
          </w:p>
        </w:tc>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(good: 225, bad: 126)</w:t>
            </w:r>
          </w:p>
        </w:tc>
      </w:tr>
      <w:tr>
        <w:tc>
          <w:tcPr>
            <w:tcW w:type="dxa" w:w="4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Número de clusters na Versão 2</w:t>
            </w:r>
          </w:p>
        </w:tc>
        <w:tc>
          <w:tcPr>
            <w:tcW w:type="dxa" w:w="4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c* (determinado por silhueta, Q1)</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Normalização</w:t>
            </w:r>
          </w:p>
        </w:tc>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StandardScaler (z-score)</w:t>
            </w:r>
          </w:p>
        </w:tc>
      </w:tr>
    </w:tbl>
    <w:p>
      <w:pPr>
        <w:spacing w:after="120"/>
      </w:pPr>
      <w:r>
        <w:t xml:space="preserve"/>
      </w:r>
    </w:p>
    <w:p>
      <w:pPr>
        <w:spacing w:after="200"/>
        <w:jc w:val="center"/>
      </w:pPr>
      <w:r>
        <w:rPr>
          <w:rFonts w:ascii="Arial" w:cs="Arial" w:eastAsia="Arial" w:hAnsi="Arial"/>
          <w:i/>
          <w:iCs/>
          <w:sz w:val="22"/>
          <w:szCs w:val="22"/>
        </w:rPr>
        <w:t xml:space="preserve">Tabela 1: Resumo das características do dataset Ionosphere após pré-processamento.</w:t>
      </w:r>
    </w:p>
    <w:p>
      <w:r>
        <w:br w:type="page"/>
      </w:r>
    </w:p>
    <w:p>
      <w:pPr>
        <w:pStyle w:val="Heading1"/>
      </w:pPr>
      <w:r>
        <w:t xml:space="preserve">3. Questão 1: Algoritmo KCM-K-GH</w:t>
      </w:r>
    </w:p>
    <w:p>
      <w:pPr>
        <w:pStyle w:val="Heading2"/>
      </w:pPr>
      <w:r>
        <w:t xml:space="preserve">3.1 Fundamentação Teórica</w:t>
      </w:r>
    </w:p>
    <w:p>
      <w:pPr>
        <w:spacing w:after="160" w:line="276"/>
        <w:jc w:val="both"/>
      </w:pPr>
      <w:r>
        <w:rPr>
          <w:rFonts w:ascii="Arial" w:cs="Arial" w:eastAsia="Arial" w:hAnsi="Arial"/>
          <w:sz w:val="22"/>
          <w:szCs w:val="22"/>
        </w:rPr>
        <w:t xml:space="preserve">O algoritmo KCM-K-GH (Kernel C-Means Hard with Global Gaussian Kernel) é uma variante dos algoritmos de agrupamento baseados em kernel gaussiano apresentados em Carvalho et al. (2018). A motivação central desse trabalho é que nos algoritmos convencionais de kernel c-means, o hiperparâmetro de largura (width) do kernel gaussiano é fixado uma única vez para todas as variáveis e todos os clusters. Essa escolha implícita que todas as variáveis têm a mesma importância é frequentemente inadequada, pois algumas variáveis podem ser irrelevantes ou ter relevâncias distintas para diferentes grupos.</w:t>
      </w:r>
    </w:p>
    <w:p>
      <w:pPr>
        <w:spacing w:after="160" w:line="276"/>
        <w:jc w:val="both"/>
      </w:pPr>
      <w:r>
        <w:rPr>
          <w:rFonts w:ascii="Arial" w:cs="Arial" w:eastAsia="Arial" w:hAnsi="Arial"/>
          <w:sz w:val="22"/>
          <w:szCs w:val="22"/>
        </w:rPr>
        <w:t xml:space="preserve">O KCM-K-GH resolve essa limitação ao aprender automaticamente um vetor global de hiperparâmetros de largura s = (s1², ..., sp²), em que cada componente sj² é específico para a j-ésima variável e é atualizado iterativamente durante a execução do algoritmo. Dessa forma, variáveis com maior poder discriminativo recebem valores de sj² menores (kernel mais estreito, maior sensibilidade a diferenças), enquanto variáveis menos relevantes recebem valores maiores.</w:t>
      </w:r>
    </w:p>
    <w:p>
      <w:pPr>
        <w:pStyle w:val="Heading2"/>
      </w:pPr>
      <w:r>
        <w:t xml:space="preserve">3.2 Formulação Matemática</w:t>
      </w:r>
    </w:p>
    <w:p>
      <w:pPr>
        <w:spacing w:after="160" w:line="276"/>
        <w:jc w:val="both"/>
      </w:pPr>
      <w:r>
        <w:rPr>
          <w:rFonts w:ascii="Arial" w:cs="Arial" w:eastAsia="Arial" w:hAnsi="Arial"/>
          <w:sz w:val="22"/>
          <w:szCs w:val="22"/>
        </w:rPr>
        <w:t xml:space="preserve">A função de kernel gaussiano utilizada no KCM-K-GH é dada pela Equação (9) do artigo de referência:</w:t>
      </w:r>
    </w:p>
    <w:p>
      <w:pPr>
        <w:spacing w:after="120" w:before="120"/>
        <w:jc w:val="center"/>
      </w:pPr>
      <w:r>
        <w:rPr>
          <w:rFonts w:ascii="Courier New" w:cs="Courier New" w:eastAsia="Courier New" w:hAnsi="Courier New"/>
          <w:sz w:val="22"/>
          <w:szCs w:val="22"/>
        </w:rPr>
        <w:t xml:space="preserve">K(s)(xi, xk) = exp{ -1/2  Σj (1/sj²)(xij - xkj)² }</w:t>
      </w:r>
    </w:p>
    <w:p>
      <w:pPr>
        <w:spacing w:after="160" w:line="276"/>
        <w:jc w:val="both"/>
      </w:pPr>
      <w:r>
        <w:rPr>
          <w:rFonts w:ascii="Arial" w:cs="Arial" w:eastAsia="Arial" w:hAnsi="Arial"/>
          <w:sz w:val="22"/>
          <w:szCs w:val="22"/>
        </w:rPr>
        <w:t xml:space="preserve">onde sj² &gt; 0 é o hiperparâmetro de largura para a variável j. A função objetivo a ser minimizada é:</w:t>
      </w:r>
    </w:p>
    <w:p>
      <w:pPr>
        <w:spacing w:after="120" w:before="120"/>
        <w:jc w:val="center"/>
      </w:pPr>
      <w:r>
        <w:rPr>
          <w:rFonts w:ascii="Courier New" w:cs="Courier New" w:eastAsia="Courier New" w:hAnsi="Courier New"/>
          <w:sz w:val="22"/>
          <w:szCs w:val="22"/>
        </w:rPr>
        <w:t xml:space="preserve">JKCM-K-GH = Σi Σk∈Pi  2(1 - K(s)(xk, gi))</w:t>
      </w:r>
    </w:p>
    <w:p>
      <w:pPr>
        <w:spacing w:after="160" w:line="276"/>
        <w:jc w:val="both"/>
      </w:pPr>
      <w:r>
        <w:rPr>
          <w:rFonts w:ascii="Arial" w:cs="Arial" w:eastAsia="Arial" w:hAnsi="Arial"/>
          <w:sz w:val="22"/>
          <w:szCs w:val="22"/>
        </w:rPr>
        <w:t xml:space="preserve">O algoritmo opera em três etapas iterativas: (1) Etapa de representação – atualização dos protótipos gi pela Equação (14); (2) Etapa de larguras – atualização do vetor de parâmetros s pela Equação (18); (3) Etapa de alocação crisp – atribuição de cada objeto ao cluster mais próximo pela Equação (18) com γ = 1.</w:t>
      </w:r>
    </w:p>
    <w:p>
      <w:pPr>
        <w:pStyle w:val="Heading2"/>
      </w:pPr>
      <w:r>
        <w:t xml:space="preserve">3.3 Implementação</w:t>
      </w:r>
    </w:p>
    <w:p>
      <w:pPr>
        <w:spacing w:after="160" w:line="276"/>
        <w:jc w:val="both"/>
      </w:pPr>
      <w:r>
        <w:rPr>
          <w:rFonts w:ascii="Arial" w:cs="Arial" w:eastAsia="Arial" w:hAnsi="Arial"/>
          <w:sz w:val="22"/>
          <w:szCs w:val="22"/>
        </w:rPr>
        <w:t xml:space="preserve">A implementação do KCM-K-GH foi realizada em Python utilizando NumPy e Pandas, sem uso de bibliotecas externas de clustering. O código reproduz fielmente as três etapas do Algoritmo 1 descrito no artigo de referência, com as seguintes adaptações e proteções numéricas:</w:t>
      </w:r>
    </w:p>
    <w:p>
      <w:pPr>
        <w:pStyle w:val="ListParagraph"/>
        <w:numPr>
          <w:ilvl w:val="0"/>
          <w:numId w:val="2"/>
        </w:numPr>
        <w:spacing w:after="80"/>
      </w:pPr>
      <w:r>
        <w:rPr>
          <w:rFonts w:ascii="Arial" w:cs="Arial" w:eastAsia="Arial" w:hAnsi="Arial"/>
          <w:sz w:val="22"/>
          <w:szCs w:val="22"/>
        </w:rPr>
        <w:t xml:space="preserve">Remoção de colunas constantes (variância zero) antes do treinamento, para evitar divisão por zero na Equação (18).</w:t>
      </w:r>
    </w:p>
    <w:p>
      <w:pPr>
        <w:pStyle w:val="ListParagraph"/>
        <w:numPr>
          <w:ilvl w:val="0"/>
          <w:numId w:val="2"/>
        </w:numPr>
        <w:spacing w:after="80"/>
      </w:pPr>
      <w:r>
        <w:rPr>
          <w:rFonts w:ascii="Arial" w:cs="Arial" w:eastAsia="Arial" w:hAnsi="Arial"/>
          <w:sz w:val="22"/>
          <w:szCs w:val="22"/>
        </w:rPr>
        <w:t xml:space="preserve">Uso de estabilidade numérica com eps = 1e-12 nos denominadores das equações de atualização.</w:t>
      </w:r>
    </w:p>
    <w:p>
      <w:pPr>
        <w:pStyle w:val="ListParagraph"/>
        <w:numPr>
          <w:ilvl w:val="0"/>
          <w:numId w:val="2"/>
        </w:numPr>
        <w:spacing w:after="80"/>
      </w:pPr>
      <w:r>
        <w:rPr>
          <w:rFonts w:ascii="Arial" w:cs="Arial" w:eastAsia="Arial" w:hAnsi="Arial"/>
          <w:sz w:val="22"/>
          <w:szCs w:val="22"/>
        </w:rPr>
        <w:t xml:space="preserve">Tratamento de clusters vazios: se algum cluster ficar vazio após a etapa de alocação, seu protótipo é reinicializado aleatoriamente.</w:t>
      </w:r>
    </w:p>
    <w:p>
      <w:pPr>
        <w:pStyle w:val="ListParagraph"/>
        <w:numPr>
          <w:ilvl w:val="0"/>
          <w:numId w:val="2"/>
        </w:numPr>
        <w:spacing w:after="80"/>
      </w:pPr>
      <w:r>
        <w:rPr>
          <w:rFonts w:ascii="Arial" w:cs="Arial" w:eastAsia="Arial" w:hAnsi="Arial"/>
          <w:sz w:val="22"/>
          <w:szCs w:val="22"/>
        </w:rPr>
        <w:t xml:space="preserve">Critério de parada por estabilização da partição (sem mudança de rótulo entre iterações consecutivas) ou por número máximo de iterações (max_iter=100).</w:t>
      </w:r>
    </w:p>
    <w:p>
      <w:pPr>
        <w:pStyle w:val="ListParagraph"/>
        <w:numPr>
          <w:ilvl w:val="0"/>
          <w:numId w:val="2"/>
        </w:numPr>
        <w:spacing w:after="160"/>
      </w:pPr>
      <w:r>
        <w:rPr>
          <w:rFonts w:ascii="Arial" w:cs="Arial" w:eastAsia="Arial" w:hAnsi="Arial"/>
          <w:sz w:val="22"/>
          <w:szCs w:val="22"/>
        </w:rPr>
        <w:t xml:space="preserve">Atualização dos parâmetros de largura em escala logarítmica para maior estabilidade numérica, usando a propriedade: log(sj) = mean(log(Dj + eps)) - log(Dj + eps).</w:t>
      </w:r>
    </w:p>
    <w:p>
      <w:pPr>
        <w:pStyle w:val="Heading2"/>
      </w:pPr>
      <w:r>
        <w:t xml:space="preserve">3.4 Protocolo Experimental</w:t>
      </w:r>
    </w:p>
    <w:p>
      <w:pPr>
        <w:spacing w:after="160" w:line="276"/>
        <w:jc w:val="both"/>
      </w:pPr>
      <w:r>
        <w:rPr>
          <w:rFonts w:ascii="Arial" w:cs="Arial" w:eastAsia="Arial" w:hAnsi="Arial"/>
          <w:sz w:val="22"/>
          <w:szCs w:val="22"/>
        </w:rPr>
        <w:t xml:space="preserve">O experimento seguiu o protocolo especificado no enunciado do projeto. Para cada valor de c ∈ {2, 3, 4, 5, 6}, o algoritmo KCM-K-GH foi executado 100 vezes com inicializações aleatórias distintas dos protótipos. A melhor execução de cada valor de c foi selecionada com base no menor valor final da função objetivo J. Sobre as melhores partições obtidas, foi calculado o coeficiente de silhueta médio, e o número ótimo de clusters c* foi definido como:</w:t>
      </w:r>
    </w:p>
    <w:p>
      <w:pPr>
        <w:spacing w:after="120" w:before="120"/>
        <w:jc w:val="center"/>
      </w:pPr>
      <w:r>
        <w:rPr>
          <w:rFonts w:ascii="Courier New" w:cs="Courier New" w:eastAsia="Courier New" w:hAnsi="Courier New"/>
          <w:sz w:val="22"/>
          <w:szCs w:val="22"/>
        </w:rPr>
        <w:t xml:space="preserve">c* = arg max_c  Sil(c),  c ∈ {2, 3, 4, 5, 6}</w:t>
      </w:r>
    </w:p>
    <w:p>
      <w:pPr>
        <w:pStyle w:val="Heading2"/>
      </w:pPr>
      <w:r>
        <w:t xml:space="preserve">3.5 Resultados</w:t>
      </w:r>
    </w:p>
    <w:p>
      <w:pPr>
        <w:pStyle w:val="Heading3"/>
      </w:pPr>
      <w:r>
        <w:t xml:space="preserve">3.5.1 Coeficiente de Silhueta por Número de Clusters</w:t>
      </w:r>
    </w:p>
    <w:p>
      <w:pPr>
        <w:spacing w:after="160" w:line="276"/>
        <w:jc w:val="both"/>
      </w:pPr>
      <w:r>
        <w:rPr>
          <w:rFonts w:ascii="Arial" w:cs="Arial" w:eastAsia="Arial" w:hAnsi="Arial"/>
          <w:sz w:val="22"/>
          <w:szCs w:val="22"/>
        </w:rPr>
        <w:t xml:space="preserve">O gráfico a seguir apresenta os valores do coeficiente de silhueta médio obtidos para cada valor de c testado. O coeficiente de silhueta quantifica a coesão interna dos clusters e a separação entre eles, variando de -1 (particionamento ruim) a +1 (particionamento ideal). O valor máximo determina c*.</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500" w:hRule="exact"/>
        </w:trPr>
        <w:tc>
          <w:tcPr>
            <w:tcW w:type="dxa" w:w="90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vAlign w:val="center"/>
          </w:tcPr>
          <w:p>
            <w:pPr>
              <w:jc w:val="center"/>
            </w:pPr>
            <w:r>
              <w:rPr>
                <w:rFonts w:ascii="Arial" w:cs="Arial" w:eastAsia="Arial" w:hAnsi="Arial"/>
                <w:i/>
                <w:iCs/>
                <w:color w:val="888888"/>
                <w:sz w:val="20"/>
                <w:szCs w:val="20"/>
              </w:rPr>
              <w:t xml:space="preserve">[Figura: Coeficiente de Silhueta médio por número de clusters c (gerado pelo notebook Questao1.ipynb)]</w:t>
            </w:r>
          </w:p>
        </w:tc>
      </w:tr>
    </w:tbl>
    <w:p>
      <w:pPr>
        <w:spacing w:after="200"/>
        <w:jc w:val="center"/>
      </w:pPr>
      <w:r>
        <w:rPr>
          <w:rFonts w:ascii="Arial" w:cs="Arial" w:eastAsia="Arial" w:hAnsi="Arial"/>
          <w:i/>
          <w:iCs/>
          <w:sz w:val="22"/>
          <w:szCs w:val="22"/>
        </w:rPr>
        <w:t xml:space="preserve">Figura: Coeficiente de Silhueta médio por número de clusters c (gerado pelo notebook Questao1.ipynb)</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w:t>
            </w:r>
          </w:p>
        </w:tc>
        <w:tc>
          <w:tcPr>
            <w:tcW w:type="dxa" w:w="30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Melhor J</w:t>
            </w:r>
          </w:p>
        </w:tc>
        <w:tc>
          <w:tcPr>
            <w:tcW w:type="dxa" w:w="30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Silhueta</w:t>
            </w:r>
          </w:p>
        </w:tc>
      </w:tr>
      <w:tr>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w:t>
            </w:r>
          </w:p>
        </w:tc>
      </w:tr>
      <w:tr>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w:t>
            </w:r>
          </w:p>
        </w:tc>
      </w:tr>
      <w:tr>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w:t>
            </w:r>
          </w:p>
        </w:tc>
      </w:tr>
    </w:tbl>
    <w:p>
      <w:pPr>
        <w:spacing w:after="120"/>
      </w:pPr>
      <w:r>
        <w:t xml:space="preserve"/>
      </w:r>
    </w:p>
    <w:p>
      <w:pPr>
        <w:spacing w:after="200"/>
        <w:jc w:val="center"/>
      </w:pPr>
      <w:r>
        <w:rPr>
          <w:rFonts w:ascii="Arial" w:cs="Arial" w:eastAsia="Arial" w:hAnsi="Arial"/>
          <w:i/>
          <w:iCs/>
          <w:sz w:val="22"/>
          <w:szCs w:val="22"/>
        </w:rPr>
        <w:t xml:space="preserve">Tabela 2: Melhor função objetivo J e coeficiente de silhueta para cada c. Preencher com os valores obtidos na execução do notebook.</w:t>
      </w:r>
    </w:p>
    <w:p>
      <w:pPr>
        <w:pStyle w:val="Heading3"/>
      </w:pPr>
      <w:r>
        <w:t xml:space="preserve">3.5.2 Resultados para c*</w:t>
      </w:r>
    </w:p>
    <w:p>
      <w:pPr>
        <w:spacing w:after="160" w:line="276"/>
        <w:jc w:val="both"/>
      </w:pPr>
      <w:r>
        <w:rPr>
          <w:rFonts w:ascii="Arial" w:cs="Arial" w:eastAsia="Arial" w:hAnsi="Arial"/>
          <w:sz w:val="22"/>
          <w:szCs w:val="22"/>
        </w:rPr>
        <w:t xml:space="preserve">O número ótimo de clusters obtido foi </w:t>
      </w:r>
      <w:r>
        <w:rPr>
          <w:rFonts w:ascii="Arial" w:cs="Arial" w:eastAsia="Arial" w:hAnsi="Arial"/>
          <w:b/>
          <w:bCs/>
          <w:sz w:val="22"/>
          <w:szCs w:val="22"/>
        </w:rPr>
        <w:t xml:space="preserve">c* = [valor]</w:t>
      </w:r>
      <w:r>
        <w:rPr>
          <w:rFonts w:ascii="Arial" w:cs="Arial" w:eastAsia="Arial" w:hAnsi="Arial"/>
          <w:sz w:val="22"/>
          <w:szCs w:val="22"/>
        </w:rPr>
        <w:t xml:space="preserve">. Para essa partição, os seguintes resultados são apresentados conforme especificado no enunciado:</w:t>
      </w:r>
    </w:p>
    <w:p>
      <w:pPr>
        <w:spacing w:after="120"/>
      </w:pPr>
      <w:r>
        <w:t xml:space="preserve"/>
      </w:r>
    </w:p>
    <w:p>
      <w:pPr>
        <w:spacing w:after="160" w:line="276"/>
        <w:jc w:val="both"/>
      </w:pPr>
      <w:r>
        <w:rPr>
          <w:rFonts w:ascii="Arial" w:cs="Arial" w:eastAsia="Arial" w:hAnsi="Arial"/>
          <w:b/>
          <w:bCs/>
          <w:sz w:val="22"/>
          <w:szCs w:val="22"/>
        </w:rPr>
        <w:t xml:space="preserve">i) Protótipos de cada grupo (g1, ..., gc*)</w:t>
      </w:r>
    </w:p>
    <w:p>
      <w:pPr>
        <w:spacing w:after="160" w:line="276"/>
        <w:jc w:val="both"/>
      </w:pPr>
      <w:r>
        <w:rPr>
          <w:rFonts w:ascii="Arial" w:cs="Arial" w:eastAsia="Arial" w:hAnsi="Arial"/>
          <w:sz w:val="22"/>
          <w:szCs w:val="22"/>
        </w:rPr>
        <w:t xml:space="preserve">Cada protótipo gi é um vetor de dimensão 33 (após a remoção do atributo constante) que representa o centro do cluster i no espaço de características original, ponderado pelo kernel gaussiano. Os protótipos são atualizados pela Equação (14) do artigo de referência, sendo uma média ponderada dos objetos do cluster com pesos dados pelos valores de kernel K(s)(xk, gi).</w:t>
      </w:r>
    </w:p>
    <w:p>
      <w:pPr>
        <w:spacing w:after="160"/>
        <w:jc w:val="center"/>
      </w:pPr>
      <w:r>
        <w:rPr>
          <w:rFonts w:ascii="Arial" w:cs="Arial" w:eastAsia="Arial" w:hAnsi="Arial"/>
          <w:i/>
          <w:iCs/>
          <w:color w:val="888888"/>
          <w:sz w:val="20"/>
          <w:szCs w:val="20"/>
        </w:rPr>
        <w:t xml:space="preserve">[Inserir tabela ou listagem dos protótipos obtidos na execução do notebook]</w:t>
      </w:r>
    </w:p>
    <w:p>
      <w:pPr>
        <w:spacing w:after="120"/>
      </w:pPr>
      <w:r>
        <w:t xml:space="preserve"/>
      </w:r>
    </w:p>
    <w:p>
      <w:pPr>
        <w:spacing w:after="160" w:line="276"/>
        <w:jc w:val="both"/>
      </w:pPr>
      <w:r>
        <w:rPr>
          <w:rFonts w:ascii="Arial" w:cs="Arial" w:eastAsia="Arial" w:hAnsi="Arial"/>
          <w:b/>
          <w:bCs/>
          <w:sz w:val="22"/>
          <w:szCs w:val="22"/>
        </w:rPr>
        <w:t xml:space="preserve">ii) Vetor de parâmetros de largura s</w:t>
      </w:r>
    </w:p>
    <w:p>
      <w:pPr>
        <w:spacing w:after="160" w:line="276"/>
        <w:jc w:val="both"/>
      </w:pPr>
      <w:r>
        <w:rPr>
          <w:rFonts w:ascii="Arial" w:cs="Arial" w:eastAsia="Arial" w:hAnsi="Arial"/>
          <w:sz w:val="22"/>
          <w:szCs w:val="22"/>
        </w:rPr>
        <w:t xml:space="preserve">O vetor s = (s1², ..., s33²) contém os hiperparâmetros de largura aprendidos automaticamente pelo algoritmo. Valores pequenos de sj² indicam que a j-ésima variável é relevante para o agrupamento (o kernel é mais sensível a diferenças nessa variável), enquanto valores grandes indicam menor relevância.</w:t>
      </w:r>
    </w:p>
    <w:p>
      <w:pPr>
        <w:spacing w:after="160"/>
        <w:jc w:val="center"/>
      </w:pPr>
      <w:r>
        <w:rPr>
          <w:rFonts w:ascii="Arial" w:cs="Arial" w:eastAsia="Arial" w:hAnsi="Arial"/>
          <w:i/>
          <w:iCs/>
          <w:color w:val="888888"/>
          <w:sz w:val="20"/>
          <w:szCs w:val="20"/>
        </w:rPr>
        <w:t xml:space="preserve">[Inserir vetor s obtido na execução do notebook]</w:t>
      </w:r>
    </w:p>
    <w:p>
      <w:pPr>
        <w:spacing w:after="120"/>
      </w:pPr>
      <w:r>
        <w:t xml:space="preserve"/>
      </w:r>
    </w:p>
    <w:p>
      <w:pPr>
        <w:spacing w:after="160" w:line="276"/>
        <w:jc w:val="both"/>
      </w:pPr>
      <w:r>
        <w:rPr>
          <w:rFonts w:ascii="Arial" w:cs="Arial" w:eastAsia="Arial" w:hAnsi="Arial"/>
          <w:b/>
          <w:bCs/>
          <w:sz w:val="22"/>
          <w:szCs w:val="22"/>
        </w:rPr>
        <w:t xml:space="preserve">iii) Matriz de Confusão e Índice de Rand Corrigido</w:t>
      </w:r>
    </w:p>
    <w:p>
      <w:pPr>
        <w:spacing w:after="160" w:line="276"/>
        <w:jc w:val="both"/>
      </w:pPr>
      <w:r>
        <w:rPr>
          <w:rFonts w:ascii="Arial" w:cs="Arial" w:eastAsia="Arial" w:hAnsi="Arial"/>
          <w:sz w:val="22"/>
          <w:szCs w:val="22"/>
        </w:rPr>
        <w:t xml:space="preserve">A partição obtida pelo KCM-K-GH para c* foi comparada com as classes a priori do dataset Ionosphere (g/b). A matriz de confusão exibe a correspondência entre os c* clusters e as 2 classes reais. O Índice de Rand Corrigido (ARI) mede o grau de concordância entre a partição obtida e a partição a priori, variando de -1 a 1, sendo 1 o acordo perfeito e 0 o esperado por acaso.</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25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 1</w:t>
            </w:r>
          </w:p>
        </w:tc>
        <w:tc>
          <w:tcPr>
            <w:tcW w:type="dxa" w:w="225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 2</w:t>
            </w:r>
          </w:p>
        </w:tc>
        <w:tc>
          <w:tcPr>
            <w:tcW w:type="dxa" w:w="225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Cluster c*</w:t>
            </w:r>
          </w:p>
        </w:tc>
      </w:tr>
      <w:tr>
        <w:tc>
          <w:tcPr>
            <w:tcW w:type="dxa" w:w="225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Classe 'g' (1)</w:t>
            </w:r>
          </w:p>
        </w:tc>
        <w:tc>
          <w:tcPr>
            <w:tcW w:type="dxa" w:w="225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[n11]</w:t>
            </w:r>
          </w:p>
        </w:tc>
        <w:tc>
          <w:tcPr>
            <w:tcW w:type="dxa" w:w="225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[n12]</w:t>
            </w:r>
          </w:p>
        </w:tc>
        <w:tc>
          <w:tcPr>
            <w:tcW w:type="dxa" w:w="225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w:t>
            </w:r>
          </w:p>
        </w:tc>
      </w:tr>
      <w:tr>
        <w:tc>
          <w:tcPr>
            <w:tcW w:type="dxa" w:w="225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Classe 'b' (0)</w:t>
            </w:r>
          </w:p>
        </w:tc>
        <w:tc>
          <w:tcPr>
            <w:tcW w:type="dxa" w:w="225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[n21]</w:t>
            </w:r>
          </w:p>
        </w:tc>
        <w:tc>
          <w:tcPr>
            <w:tcW w:type="dxa" w:w="225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[n22]</w:t>
            </w:r>
          </w:p>
        </w:tc>
        <w:tc>
          <w:tcPr>
            <w:tcW w:type="dxa" w:w="225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r>
    </w:tbl>
    <w:p>
      <w:pPr>
        <w:spacing w:after="120"/>
      </w:pPr>
      <w:r>
        <w:t xml:space="preserve"/>
      </w:r>
    </w:p>
    <w:p>
      <w:pPr>
        <w:spacing w:after="200"/>
        <w:jc w:val="center"/>
      </w:pPr>
      <w:r>
        <w:rPr>
          <w:rFonts w:ascii="Arial" w:cs="Arial" w:eastAsia="Arial" w:hAnsi="Arial"/>
          <w:i/>
          <w:iCs/>
          <w:sz w:val="22"/>
          <w:szCs w:val="22"/>
        </w:rPr>
        <w:t xml:space="preserve">Tabela 3: Matriz de confusão entre a partição KCM-K-GH e as classes a priori (preencher com os valores do notebook).</w:t>
      </w:r>
    </w:p>
    <w:p>
      <w:pPr>
        <w:spacing w:after="160" w:line="276"/>
        <w:jc w:val="both"/>
      </w:pPr>
      <w:r>
        <w:rPr>
          <w:rFonts w:ascii="Arial" w:cs="Arial" w:eastAsia="Arial" w:hAnsi="Arial"/>
          <w:sz w:val="22"/>
          <w:szCs w:val="22"/>
        </w:rPr>
        <w:t xml:space="preserve">ARI obtido: </w:t>
      </w:r>
      <w:r>
        <w:rPr>
          <w:rFonts w:ascii="Arial" w:cs="Arial" w:eastAsia="Arial" w:hAnsi="Arial"/>
          <w:b/>
          <w:bCs/>
          <w:sz w:val="22"/>
          <w:szCs w:val="22"/>
        </w:rPr>
        <w:t xml:space="preserve">[valor]</w:t>
      </w:r>
      <w:r>
        <w:rPr>
          <w:rFonts w:ascii="Arial" w:cs="Arial" w:eastAsia="Arial" w:hAnsi="Arial"/>
          <w:sz w:val="22"/>
          <w:szCs w:val="22"/>
        </w:rPr>
        <w:t xml:space="preserve">. Um ARI próximo de 1 indica que o agrupamento recupera bem a estrutura das classes a priori.</w:t>
      </w:r>
    </w:p>
    <w:p>
      <w:pPr>
        <w:spacing w:after="120"/>
      </w:pPr>
      <w:r>
        <w:t xml:space="preserve"/>
      </w:r>
    </w:p>
    <w:p>
      <w:pPr>
        <w:spacing w:after="160" w:line="276"/>
        <w:jc w:val="both"/>
      </w:pPr>
      <w:r>
        <w:rPr>
          <w:rFonts w:ascii="Arial" w:cs="Arial" w:eastAsia="Arial" w:hAnsi="Arial"/>
          <w:b/>
          <w:bCs/>
          <w:sz w:val="22"/>
          <w:szCs w:val="22"/>
        </w:rPr>
        <w:t xml:space="preserve">iv) Convergência da Função Objetivo</w:t>
      </w:r>
    </w:p>
    <w:p>
      <w:pPr>
        <w:spacing w:after="160" w:line="276"/>
        <w:jc w:val="both"/>
      </w:pPr>
      <w:r>
        <w:rPr>
          <w:rFonts w:ascii="Arial" w:cs="Arial" w:eastAsia="Arial" w:hAnsi="Arial"/>
          <w:sz w:val="22"/>
          <w:szCs w:val="22"/>
        </w:rPr>
        <w:t xml:space="preserve">O gráfico a seguir mostra a evolução do valor da função objetivo J ao longo das iterações para a melhor execução com c*. A convergência monotônica descendente é garantida pela Proposição 7 do artigo de referência (Carvalho et al., 2018).</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500" w:hRule="exact"/>
        </w:trPr>
        <w:tc>
          <w:tcPr>
            <w:tcW w:type="dxa" w:w="90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vAlign w:val="center"/>
          </w:tcPr>
          <w:p>
            <w:pPr>
              <w:jc w:val="center"/>
            </w:pPr>
            <w:r>
              <w:rPr>
                <w:rFonts w:ascii="Arial" w:cs="Arial" w:eastAsia="Arial" w:hAnsi="Arial"/>
                <w:i/>
                <w:iCs/>
                <w:color w:val="888888"/>
                <w:sz w:val="20"/>
                <w:szCs w:val="20"/>
              </w:rPr>
              <w:t xml:space="preserve">[Figura: Convergência da função objetivo J vs. iterações para c* (gerado pelo notebook Questao1.ipynb)]</w:t>
            </w:r>
          </w:p>
        </w:tc>
      </w:tr>
    </w:tbl>
    <w:p>
      <w:pPr>
        <w:spacing w:after="200"/>
        <w:jc w:val="center"/>
      </w:pPr>
      <w:r>
        <w:rPr>
          <w:rFonts w:ascii="Arial" w:cs="Arial" w:eastAsia="Arial" w:hAnsi="Arial"/>
          <w:i/>
          <w:iCs/>
          <w:sz w:val="22"/>
          <w:szCs w:val="22"/>
        </w:rPr>
        <w:t xml:space="preserve">Figura: Convergência da função objetivo J vs. iterações para c* (gerado pelo notebook Questao1.ipynb)</w:t>
      </w:r>
    </w:p>
    <w:p>
      <w:pPr>
        <w:pStyle w:val="Heading2"/>
      </w:pPr>
      <w:r>
        <w:t xml:space="preserve">3.6 Análise e Discussão</w:t>
      </w:r>
    </w:p>
    <w:p>
      <w:pPr>
        <w:spacing w:after="160" w:line="276"/>
        <w:jc w:val="both"/>
      </w:pPr>
      <w:r>
        <w:rPr>
          <w:rFonts w:ascii="Arial" w:cs="Arial" w:eastAsia="Arial" w:hAnsi="Arial"/>
          <w:sz w:val="22"/>
          <w:szCs w:val="22"/>
        </w:rPr>
        <w:t xml:space="preserve">O coeficiente de silhueta permitiu uma escolha objetiva do número de clusters, evitando a necessidade de conhecimento a priori sobre a estrutura dos dados. O KCM-K-GH demonstra que a aprendizagem automática dos hiperparâmetros de largura é uma contribuição relevante: ao contrário do KCM-K convencional, que usa um único σ² para todas as variáveis, o KCM-K-GH identifica quais variáveis são mais discriminativas para o agrupamento, atribuindo-lhes menores valores de sj².</w:t>
      </w:r>
    </w:p>
    <w:p>
      <w:pPr>
        <w:spacing w:after="160" w:line="276"/>
        <w:jc w:val="both"/>
      </w:pPr>
      <w:r>
        <w:rPr>
          <w:rFonts w:ascii="Arial" w:cs="Arial" w:eastAsia="Arial" w:hAnsi="Arial"/>
          <w:sz w:val="22"/>
          <w:szCs w:val="22"/>
        </w:rPr>
        <w:t xml:space="preserve">A análise do ARI permite avaliar em que medida a estrutura de clusters descoberta sem supervisão corresponde às categorias reais 'good'/'bad' do dataset. Um ARI elevado indica que a estrutura latente dos dados de radar coincide com a distinção de interesse, enquanto um ARI baixo pode indicar que o agrupamento captura uma organização diferente dos dados.</w:t>
      </w:r>
    </w:p>
    <w:p>
      <w:r>
        <w:br w:type="page"/>
      </w:r>
    </w:p>
    <w:p>
      <w:pPr>
        <w:pStyle w:val="Heading1"/>
      </w:pPr>
      <w:r>
        <w:t xml:space="preserve">4. Questão 2: Avaliação Comparativa de Classificadores</w:t>
      </w:r>
    </w:p>
    <w:p>
      <w:pPr>
        <w:pStyle w:val="Heading2"/>
      </w:pPr>
      <w:r>
        <w:t xml:space="preserve">4.1 Objetivos e Versões do Dataset</w:t>
      </w:r>
    </w:p>
    <w:p>
      <w:pPr>
        <w:spacing w:after="160" w:line="276"/>
        <w:jc w:val="both"/>
      </w:pPr>
      <w:r>
        <w:rPr>
          <w:rFonts w:ascii="Arial" w:cs="Arial" w:eastAsia="Arial" w:hAnsi="Arial"/>
          <w:sz w:val="22"/>
          <w:szCs w:val="22"/>
        </w:rPr>
        <w:t xml:space="preserve">A Questão 2 tem como objetivo avaliar e comparar cinco classificadores aplicados ao dataset Ionosphere em duas configurações: a Versão 1 usa as classes originais a priori (binário: g/b) e a Versão 2 usa os rótulos dos clusters obtidos pelo KCM-K-GH na Questão 1, com c* classes. Essa segunda configuração simula um cenário de pseudo-supervisão, em que os rótulos de treinamento derivam de um agrupamento não supervisionado.</w:t>
      </w:r>
    </w:p>
    <w:p>
      <w:pPr>
        <w:spacing w:after="160" w:line="276"/>
        <w:jc w:val="both"/>
      </w:pPr>
      <w:r>
        <w:rPr>
          <w:rFonts w:ascii="Arial" w:cs="Arial" w:eastAsia="Arial" w:hAnsi="Arial"/>
          <w:sz w:val="22"/>
          <w:szCs w:val="22"/>
        </w:rPr>
        <w:t xml:space="preserve">Os cinco classificadores avaliados são: (i) Bayesiano Gaussiano (GaussianNB), (ii) Bayesiano baseado em k-vizinhos (kNN) com distâncias Euclidiana, City-Block e Chebyshev, (iii) Bayesiano baseado na janela de Parzen com kernel gaussiano multivariado produto, (iv) Regressão Logística, e (v) Voto Majoritário baseado nos quatro classificadores anteriores.</w:t>
      </w:r>
    </w:p>
    <w:p>
      <w:pPr>
        <w:pStyle w:val="Heading2"/>
      </w:pPr>
      <w:r>
        <w:t xml:space="preserve">4.2 Classificadores Implementados</w:t>
      </w:r>
    </w:p>
    <w:p>
      <w:pPr>
        <w:pStyle w:val="Heading3"/>
      </w:pPr>
      <w:r>
        <w:t xml:space="preserve">4.2.1 Bayesiano Gaussiano (GaussianNB)</w:t>
      </w:r>
    </w:p>
    <w:p>
      <w:pPr>
        <w:spacing w:after="160" w:line="276"/>
        <w:jc w:val="both"/>
      </w:pPr>
      <w:r>
        <w:rPr>
          <w:rFonts w:ascii="Arial" w:cs="Arial" w:eastAsia="Arial" w:hAnsi="Arial"/>
          <w:sz w:val="22"/>
          <w:szCs w:val="22"/>
        </w:rPr>
        <w:t xml:space="preserve">O classificador bayesiano gaussiano estima a probabilidade condicional P(x|ωi) assumindo uma distribuição normal multivariada para cada classe, com estimação de máxima verossimilhança dos parâmetros μi e Σi. A regra de decisão maximiza a probabilidade a posteriori P(ωi|x) ∝ P(x|ωi) P(ωi). A priori P(ωi) é estimada pela proporção de amostras de cada classe no conjunto de treinamento. Este classificador não possui hiperparâmetros a serem ajustados por validação cruzada.</w:t>
      </w:r>
    </w:p>
    <w:p>
      <w:pPr>
        <w:pStyle w:val="Heading3"/>
      </w:pPr>
      <w:r>
        <w:t xml:space="preserve">4.2.2 k-NN Bayesiano</w:t>
      </w:r>
    </w:p>
    <w:p>
      <w:pPr>
        <w:spacing w:after="160" w:line="276"/>
        <w:jc w:val="both"/>
      </w:pPr>
      <w:r>
        <w:rPr>
          <w:rFonts w:ascii="Arial" w:cs="Arial" w:eastAsia="Arial" w:hAnsi="Arial"/>
          <w:sz w:val="22"/>
          <w:szCs w:val="22"/>
        </w:rPr>
        <w:t xml:space="preserve">O classificador k-NN bayesiano estima a probabilidade a posteriori de cada classe com base nos k vizinhos mais próximos de um padrão de teste. Foram consideradas as distâncias Euclidiana, City-Block (Manhattan) e Chebyshev para definir a vizinhança. O hiperparâmetro k ∈ {3, 5, 7} e a métrica de distância foram selecionados conjuntamente por validação cruzada estratificada interna de 5 folds, maximizando a acurácia no conjunto de validação.</w:t>
      </w:r>
    </w:p>
    <w:p>
      <w:pPr>
        <w:pStyle w:val="Heading3"/>
      </w:pPr>
      <w:r>
        <w:t xml:space="preserve">4.2.3 Janela de Parzen</w:t>
      </w:r>
    </w:p>
    <w:p>
      <w:pPr>
        <w:spacing w:after="160" w:line="276"/>
        <w:jc w:val="both"/>
      </w:pPr>
      <w:r>
        <w:rPr>
          <w:rFonts w:ascii="Arial" w:cs="Arial" w:eastAsia="Arial" w:hAnsi="Arial"/>
          <w:sz w:val="22"/>
          <w:szCs w:val="22"/>
        </w:rPr>
        <w:t xml:space="preserve">O classificador bayesiano baseado na janela de Parzen estima a densidade condicional de classe P(x|ωi) utilizando um kernel gaussiano multivariado produto – equivalente ao produto de kernels gaussianos univariados independentes. A implementação usa a classe KernelDensity do scikit-learn com kernel='gaussian', que aproxima o kernel gaussiano multivariado pelo produto dos kernels individuais em espaço euclidiano. O hiperparâmetro de largura h ∈ {0.1, 0.5, 1.0, 1.5, 2.0} é selecionado por validação cruzada interna de 5 folds.</w:t>
      </w:r>
    </w:p>
    <w:p>
      <w:pPr>
        <w:pStyle w:val="Heading3"/>
      </w:pPr>
      <w:r>
        <w:t xml:space="preserve">4.2.4 Regressão Logística</w:t>
      </w:r>
    </w:p>
    <w:p>
      <w:pPr>
        <w:spacing w:after="160" w:line="276"/>
        <w:jc w:val="both"/>
      </w:pPr>
      <w:r>
        <w:rPr>
          <w:rFonts w:ascii="Arial" w:cs="Arial" w:eastAsia="Arial" w:hAnsi="Arial"/>
          <w:sz w:val="22"/>
          <w:szCs w:val="22"/>
        </w:rPr>
        <w:t xml:space="preserve">A regressão logística é um classificador discriminativo que estima diretamente P(ωi|x) via função sigmoide (ou softmax para múltiplas classes). O parâmetro de regularização C ∈ {0.01, 0.1, 1.0, 10.0} controla o compromisso bias-variância e é selecionado por validação cruzada interna de 5 folds.</w:t>
      </w:r>
    </w:p>
    <w:p>
      <w:pPr>
        <w:pStyle w:val="Heading3"/>
      </w:pPr>
      <w:r>
        <w:t xml:space="preserve">4.2.5 Voto Majoritário</w:t>
      </w:r>
    </w:p>
    <w:p>
      <w:pPr>
        <w:spacing w:after="160" w:line="276"/>
        <w:jc w:val="both"/>
      </w:pPr>
      <w:r>
        <w:rPr>
          <w:rFonts w:ascii="Arial" w:cs="Arial" w:eastAsia="Arial" w:hAnsi="Arial"/>
          <w:sz w:val="22"/>
          <w:szCs w:val="22"/>
        </w:rPr>
        <w:t xml:space="preserve">O classificador ensemble por voto majoritário combina as predições dos quatro classificadores acima (GaussianNB, kNN, Parzen, LogReg) utilizando a regra de decisão de pluralidade: cada padrão de teste é atribuído à classe mais votada entre os quatro classificadores. Este método é motivado pelo trabalho de Kittler et al. (1998), que demonstra que a regra de soma (e, por extensão, o voto majoritário) supera as regras de produto, mínimo e máximo em termos de robustez a erros de estimação das probabilidades a posteriori.</w:t>
      </w:r>
    </w:p>
    <w:p>
      <w:pPr>
        <w:pStyle w:val="Heading2"/>
      </w:pPr>
      <w:r>
        <w:t xml:space="preserve">4.3 Protocolo de Validação Cruzada</w:t>
      </w:r>
    </w:p>
    <w:p>
      <w:pPr>
        <w:spacing w:after="160" w:line="276"/>
        <w:jc w:val="both"/>
      </w:pPr>
      <w:r>
        <w:rPr>
          <w:rFonts w:ascii="Arial" w:cs="Arial" w:eastAsia="Arial" w:hAnsi="Arial"/>
          <w:sz w:val="22"/>
          <w:szCs w:val="22"/>
        </w:rPr>
        <w:t xml:space="preserve">O protocolo de avaliação adota uma estrutura de validação cruzada estratificada em dois níveis (nested cross-validation), conforme especificado no enunciado:</w:t>
      </w:r>
    </w:p>
    <w:p>
      <w:pPr>
        <w:pStyle w:val="ListParagraph"/>
        <w:numPr>
          <w:ilvl w:val="0"/>
          <w:numId w:val="2"/>
        </w:numPr>
        <w:spacing w:after="80"/>
      </w:pPr>
      <w:r>
        <w:rPr>
          <w:rFonts w:ascii="Arial" w:cs="Arial" w:eastAsia="Arial" w:hAnsi="Arial"/>
          <w:b/>
          <w:bCs/>
          <w:sz w:val="22"/>
          <w:szCs w:val="22"/>
        </w:rPr>
        <w:t xml:space="preserve">Nível externo (avaliação): </w:t>
      </w:r>
      <w:r>
        <w:rPr>
          <w:rFonts w:ascii="Arial" w:cs="Arial" w:eastAsia="Arial" w:hAnsi="Arial"/>
          <w:sz w:val="22"/>
          <w:szCs w:val="22"/>
        </w:rPr>
        <w:t xml:space="preserve">30 × 10-folds estratificado (RepeatedStratifiedKFold com n_splits=10, n_repeats=30), totalizando 300 iterações por classificador. A estratificação garante que a proporção de classes seja mantida em cada fold.</w:t>
      </w:r>
    </w:p>
    <w:p>
      <w:pPr>
        <w:pStyle w:val="ListParagraph"/>
        <w:numPr>
          <w:ilvl w:val="0"/>
          <w:numId w:val="2"/>
        </w:numPr>
        <w:spacing w:after="80"/>
      </w:pPr>
      <w:r>
        <w:rPr>
          <w:rFonts w:ascii="Arial" w:cs="Arial" w:eastAsia="Arial" w:hAnsi="Arial"/>
          <w:b/>
          <w:bCs/>
          <w:sz w:val="22"/>
          <w:szCs w:val="22"/>
        </w:rPr>
        <w:t xml:space="preserve">Nível interno (sintonia): </w:t>
      </w:r>
      <w:r>
        <w:rPr>
          <w:rFonts w:ascii="Arial" w:cs="Arial" w:eastAsia="Arial" w:hAnsi="Arial"/>
          <w:sz w:val="22"/>
          <w:szCs w:val="22"/>
        </w:rPr>
        <w:t xml:space="preserve">5-folds estratificado aplicado sobre o conjunto de treinamento externo, para seleção dos hiperparâmetros de kNN (k e métrica), Parzen (largura h) e Regressão Logística (C). Após a seleção, cada modelo é retreinado no conjunto completo de treinamento externo com os melhores hiperparâmetros.</w:t>
      </w:r>
    </w:p>
    <w:p>
      <w:pPr>
        <w:pStyle w:val="ListParagraph"/>
        <w:numPr>
          <w:ilvl w:val="0"/>
          <w:numId w:val="2"/>
        </w:numPr>
        <w:spacing w:after="160"/>
      </w:pPr>
      <w:r>
        <w:rPr>
          <w:rFonts w:ascii="Arial" w:cs="Arial" w:eastAsia="Arial" w:hAnsi="Arial"/>
          <w:b/>
          <w:bCs/>
          <w:sz w:val="22"/>
          <w:szCs w:val="22"/>
        </w:rPr>
        <w:t xml:space="preserve">Ensemble: </w:t>
      </w:r>
      <w:r>
        <w:rPr>
          <w:rFonts w:ascii="Arial" w:cs="Arial" w:eastAsia="Arial" w:hAnsi="Arial"/>
          <w:sz w:val="22"/>
          <w:szCs w:val="22"/>
        </w:rPr>
        <w:t xml:space="preserve">O classificador de voto majoritário é construído sobre as instâncias já sintonizadas dos quatro classificadores base em cada fold externo, garantindo que não haja vazamento de informação do conjunto de teste.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500" w:hRule="exact"/>
        </w:trPr>
        <w:tc>
          <w:tcPr>
            <w:tcW w:type="dxa" w:w="90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vAlign w:val="center"/>
          </w:tcPr>
          <w:p>
            <w:pPr>
              <w:jc w:val="center"/>
            </w:pPr>
            <w:r>
              <w:rPr>
                <w:rFonts w:ascii="Arial" w:cs="Arial" w:eastAsia="Arial" w:hAnsi="Arial"/>
                <w:i/>
                <w:iCs/>
                <w:color w:val="888888"/>
                <w:sz w:val="20"/>
                <w:szCs w:val="20"/>
              </w:rPr>
              <w:t xml:space="preserve">[Figura: Diagrama do protocolo de validação cruzada estratificada em dois níveis (nested CV)]</w:t>
            </w:r>
          </w:p>
        </w:tc>
      </w:tr>
    </w:tbl>
    <w:p>
      <w:pPr>
        <w:spacing w:after="200"/>
        <w:jc w:val="center"/>
      </w:pPr>
      <w:r>
        <w:rPr>
          <w:rFonts w:ascii="Arial" w:cs="Arial" w:eastAsia="Arial" w:hAnsi="Arial"/>
          <w:i/>
          <w:iCs/>
          <w:sz w:val="22"/>
          <w:szCs w:val="22"/>
        </w:rPr>
        <w:t xml:space="preserve">Figura: Diagrama do protocolo de validação cruzada estratificada em dois níveis (nested CV)</w:t>
      </w:r>
    </w:p>
    <w:p>
      <w:pPr>
        <w:pStyle w:val="Heading2"/>
      </w:pPr>
      <w:r>
        <w:t xml:space="preserve">4.4 Métricas de Avaliação</w:t>
      </w:r>
    </w:p>
    <w:p>
      <w:pPr>
        <w:spacing w:after="160" w:line="276"/>
        <w:jc w:val="both"/>
      </w:pPr>
      <w:r>
        <w:rPr>
          <w:rFonts w:ascii="Arial" w:cs="Arial" w:eastAsia="Arial" w:hAnsi="Arial"/>
          <w:sz w:val="22"/>
          <w:szCs w:val="22"/>
        </w:rPr>
        <w:t xml:space="preserve">Para cada iteração do fold externo, foram calculadas quatro métricas de avaliação: Taxa de Erro (1 - acurácia), Precisão (macro-average), Cobertura/Recall (macro-average) e F-measure (macro-average). O uso da macro-average garante que classes minoritárias tenham o mesmo peso que as majoritárias nas métricas agregadas.</w:t>
      </w:r>
    </w:p>
    <w:p>
      <w:pPr>
        <w:spacing w:after="160" w:line="276"/>
        <w:jc w:val="both"/>
      </w:pPr>
      <w:r>
        <w:rPr>
          <w:rFonts w:ascii="Arial" w:cs="Arial" w:eastAsia="Arial" w:hAnsi="Arial"/>
          <w:sz w:val="22"/>
          <w:szCs w:val="22"/>
        </w:rPr>
        <w:t xml:space="preserve">A estimativa pontual de cada métrica é a média das 300 observações, e o intervalo de confiança de 95% é calculado usando a distribuição t de Student com 299 graus de liberdade, sendo a margem de erro dada por: margem = t0.975 × (desvio_padrão / √300).</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35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Fórmula</w:t>
            </w:r>
          </w:p>
        </w:tc>
        <w:tc>
          <w:tcPr>
            <w:tcW w:type="dxa" w:w="35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Interpretação</w:t>
            </w:r>
          </w:p>
        </w:tc>
      </w:tr>
      <w:tr>
        <w:tc>
          <w:tcPr>
            <w:tcW w:type="dxa" w:w="2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Taxa de Erro</w:t>
            </w:r>
          </w:p>
        </w:tc>
        <w:tc>
          <w:tcPr>
            <w:tcW w:type="dxa" w:w="3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1 - Acurácia</w:t>
            </w:r>
          </w:p>
        </w:tc>
        <w:tc>
          <w:tcPr>
            <w:tcW w:type="dxa" w:w="3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Proporção de classificações incorretas</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Precisão (macro)</w:t>
            </w:r>
          </w:p>
        </w:tc>
        <w:tc>
          <w:tcPr>
            <w:tcW w:type="dxa" w:w="3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TP / (TP+FP), avg.</w:t>
            </w:r>
          </w:p>
        </w:tc>
        <w:tc>
          <w:tcPr>
            <w:tcW w:type="dxa" w:w="3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Relevância das predições positivas</w:t>
            </w:r>
          </w:p>
        </w:tc>
      </w:tr>
      <w:tr>
        <w:tc>
          <w:tcPr>
            <w:tcW w:type="dxa" w:w="2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Cobertura (macro)</w:t>
            </w:r>
          </w:p>
        </w:tc>
        <w:tc>
          <w:tcPr>
            <w:tcW w:type="dxa" w:w="3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TP / (TP+FN), avg.</w:t>
            </w:r>
          </w:p>
        </w:tc>
        <w:tc>
          <w:tcPr>
            <w:tcW w:type="dxa" w:w="35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Completeza das predições positivas</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F-measure (macro)</w:t>
            </w:r>
          </w:p>
        </w:tc>
        <w:tc>
          <w:tcPr>
            <w:tcW w:type="dxa" w:w="3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 Prec × Rec / (Prec+Rec)</w:t>
            </w:r>
          </w:p>
        </w:tc>
        <w:tc>
          <w:tcPr>
            <w:tcW w:type="dxa" w:w="3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Média harmônica de precisão e cobertura</w:t>
            </w:r>
          </w:p>
        </w:tc>
      </w:tr>
    </w:tbl>
    <w:p>
      <w:pPr>
        <w:spacing w:after="120"/>
      </w:pPr>
      <w:r>
        <w:t xml:space="preserve"/>
      </w:r>
    </w:p>
    <w:p>
      <w:pPr>
        <w:spacing w:after="200"/>
        <w:jc w:val="center"/>
      </w:pPr>
      <w:r>
        <w:rPr>
          <w:rFonts w:ascii="Arial" w:cs="Arial" w:eastAsia="Arial" w:hAnsi="Arial"/>
          <w:i/>
          <w:iCs/>
          <w:sz w:val="22"/>
          <w:szCs w:val="22"/>
        </w:rPr>
        <w:t xml:space="preserve">Tabela 4: Métricas de avaliação utilizadas na Questão 2.</w:t>
      </w:r>
    </w:p>
    <w:p>
      <w:r>
        <w:br w:type="page"/>
      </w:r>
    </w:p>
    <w:p>
      <w:pPr>
        <w:pStyle w:val="Heading2"/>
      </w:pPr>
      <w:r>
        <w:t xml:space="preserve">4.5 Resultados: Versão 1 (Classes Originais)</w:t>
      </w:r>
    </w:p>
    <w:p>
      <w:pPr>
        <w:pStyle w:val="Heading3"/>
      </w:pPr>
      <w:r>
        <w:t xml:space="preserve">4.5.1 Estimativas Pontuais e Intervalos de Confiança</w:t>
      </w:r>
    </w:p>
    <w:p>
      <w:pPr>
        <w:spacing w:after="160" w:line="276"/>
        <w:jc w:val="both"/>
      </w:pPr>
      <w:r>
        <w:rPr>
          <w:rFonts w:ascii="Arial" w:cs="Arial" w:eastAsia="Arial" w:hAnsi="Arial"/>
          <w:sz w:val="22"/>
          <w:szCs w:val="22"/>
        </w:rPr>
        <w:t xml:space="preserve">A tabela a seguir apresenta as estimativas pontuais e intervalos de confiança de 95% para cada classificador avaliado na Versão 1 do dataset (classes originais a priori). Os valores correspondem à média das 300 iterações do fold externo.</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tblHeader/>
        </w:trPr>
        <w:tc>
          <w:tcPr>
            <w:tcW w:type="dxa" w:w="22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Classificador</w:t>
            </w:r>
          </w:p>
        </w:tc>
        <w:tc>
          <w:tcPr>
            <w:tcW w:type="dxa" w:w="17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 ± IC95%</w:t>
            </w:r>
          </w:p>
        </w:tc>
        <w:tc>
          <w:tcPr>
            <w:tcW w:type="dxa" w:w="17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Precisão ± IC95%</w:t>
            </w:r>
          </w:p>
        </w:tc>
        <w:tc>
          <w:tcPr>
            <w:tcW w:type="dxa" w:w="17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 IC95%</w:t>
            </w:r>
          </w:p>
        </w:tc>
        <w:tc>
          <w:tcPr>
            <w:tcW w:type="dxa" w:w="17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F-measure ± IC95%</w:t>
            </w:r>
          </w:p>
        </w:tc>
      </w:tr>
      <w:tr>
        <w:tc>
          <w:tcPr>
            <w:tcW w:type="dxa" w:w="22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GaussianNB</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kNN</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r>
        <w:tc>
          <w:tcPr>
            <w:tcW w:type="dxa" w:w="22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Parzen</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LogReg</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r>
        <w:tc>
          <w:tcPr>
            <w:tcW w:type="dxa" w:w="22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VotoMajoritario</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bl>
    <w:p>
      <w:pPr>
        <w:spacing w:after="120"/>
      </w:pPr>
      <w:r>
        <w:t xml:space="preserve"/>
      </w:r>
    </w:p>
    <w:p>
      <w:pPr>
        <w:spacing w:after="200"/>
        <w:jc w:val="center"/>
      </w:pPr>
      <w:r>
        <w:rPr>
          <w:rFonts w:ascii="Arial" w:cs="Arial" w:eastAsia="Arial" w:hAnsi="Arial"/>
          <w:i/>
          <w:iCs/>
          <w:sz w:val="22"/>
          <w:szCs w:val="22"/>
        </w:rPr>
        <w:t xml:space="preserve">Tabela 5: Estimativas pontuais e IC 95% para os classificadores na Versão 1. Preencher com os valores obtidos na execução dos notebooks.</w:t>
      </w:r>
    </w:p>
    <w:p>
      <w:pPr>
        <w:pStyle w:val="Heading3"/>
      </w:pPr>
      <w:r>
        <w:t xml:space="preserve">4.5.2 Teste de Friedman e Pós-Teste de Nemenyi</w:t>
      </w:r>
    </w:p>
    <w:p>
      <w:pPr>
        <w:spacing w:after="160" w:line="276"/>
        <w:jc w:val="both"/>
      </w:pPr>
      <w:r>
        <w:rPr>
          <w:rFonts w:ascii="Arial" w:cs="Arial" w:eastAsia="Arial" w:hAnsi="Arial"/>
          <w:sz w:val="22"/>
          <w:szCs w:val="22"/>
        </w:rPr>
        <w:t xml:space="preserve">O teste de Friedman (Demšar, 2006) é um teste não-paramétrico para comparação de múltiplos classificadores sobre múltiplos conjuntos de dados (aqui, as 300 observações de cada fold externo fazem o papel dos 'datasets'). Ele é preferível ao ANOVA porque não assume normalidade das distribuições de desempenho e não sofre de inflação de erro Tipo I no contexto de machine learning.</w:t>
      </w:r>
    </w:p>
    <w:p>
      <w:pPr>
        <w:spacing w:after="160" w:line="276"/>
        <w:jc w:val="both"/>
      </w:pPr>
      <w:r>
        <w:rPr>
          <w:rFonts w:ascii="Arial" w:cs="Arial" w:eastAsia="Arial" w:hAnsi="Arial"/>
          <w:sz w:val="22"/>
          <w:szCs w:val="22"/>
        </w:rPr>
        <w:t xml:space="preserve">O teste ranqueia os classificadores em cada observação de avaliação e verifica se as médias dos ranks diferem significativamente sob a hipótese nula de que todos os classificadores são equivalentes. A estatística de Friedman é:</w:t>
      </w:r>
    </w:p>
    <w:p>
      <w:pPr>
        <w:spacing w:after="120" w:before="120"/>
        <w:jc w:val="center"/>
      </w:pPr>
      <w:r>
        <w:rPr>
          <w:rFonts w:ascii="Courier New" w:cs="Courier New" w:eastAsia="Courier New" w:hAnsi="Courier New"/>
          <w:sz w:val="22"/>
          <w:szCs w:val="22"/>
        </w:rPr>
        <w:t xml:space="preserve">χ²F = [12N / k(k+1)] × [Σj Rj² - k(k+1)²/4]</w:t>
      </w:r>
    </w:p>
    <w:p>
      <w:pPr>
        <w:spacing w:after="160" w:line="276"/>
        <w:jc w:val="both"/>
      </w:pPr>
      <w:r>
        <w:rPr>
          <w:rFonts w:ascii="Arial" w:cs="Arial" w:eastAsia="Arial" w:hAnsi="Arial"/>
          <w:sz w:val="22"/>
          <w:szCs w:val="22"/>
        </w:rPr>
        <w:t xml:space="preserve">onde N = 300 é o número de observações, k = 5 é o número de classificadores e Rj é o rank médio do j-ésimo classificador. A versão corrigida por Iman e Davenport (1980) converte χ²F em uma estatística F com distribuição F(k-1, (k-1)(N-1)).</w:t>
      </w:r>
    </w:p>
    <w:p>
      <w:pPr>
        <w:spacing w:after="160" w:line="276"/>
        <w:jc w:val="both"/>
      </w:pPr>
      <w:r>
        <w:rPr>
          <w:rFonts w:ascii="Arial" w:cs="Arial" w:eastAsia="Arial" w:hAnsi="Arial"/>
          <w:sz w:val="22"/>
          <w:szCs w:val="22"/>
        </w:rPr>
        <w:t xml:space="preserve">Se o teste de Friedman rejeita H0 (p &lt; 0.05), aplica-se o pós-teste de Nemenyi para comparações pareadas. Dois classificadores diferem significativamente se a diferença entre seus ranks médios excede a Diferença Crítica (CD):</w:t>
      </w:r>
    </w:p>
    <w:p>
      <w:pPr>
        <w:spacing w:after="120" w:before="120"/>
        <w:jc w:val="center"/>
      </w:pPr>
      <w:r>
        <w:rPr>
          <w:rFonts w:ascii="Courier New" w:cs="Courier New" w:eastAsia="Courier New" w:hAnsi="Courier New"/>
          <w:sz w:val="22"/>
          <w:szCs w:val="22"/>
        </w:rPr>
        <w:t xml:space="preserve">CD = qα × √(k(k+1)/6N)</w:t>
      </w:r>
    </w:p>
    <w:p>
      <w:pPr>
        <w:spacing w:after="160" w:line="276"/>
        <w:jc w:val="both"/>
      </w:pPr>
      <w:r>
        <w:rPr>
          <w:rFonts w:ascii="Arial" w:cs="Arial" w:eastAsia="Arial" w:hAnsi="Arial"/>
          <w:sz w:val="22"/>
          <w:szCs w:val="22"/>
        </w:rPr>
        <w:t xml:space="preserve">Para k=5 classificadores e α=0.05, o valor crítico de Nemenyi é qα = 2.728, resultando em:</w:t>
      </w:r>
    </w:p>
    <w:p>
      <w:pPr>
        <w:spacing w:after="120" w:before="120"/>
        <w:jc w:val="center"/>
      </w:pPr>
      <w:r>
        <w:rPr>
          <w:rFonts w:ascii="Courier New" w:cs="Courier New" w:eastAsia="Courier New" w:hAnsi="Courier New"/>
          <w:sz w:val="22"/>
          <w:szCs w:val="22"/>
        </w:rPr>
        <w:t xml:space="preserve">CD = 2.728 × √(5×6/(6×300)) ≈ [valor]</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225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Estatística Friedman</w:t>
            </w:r>
          </w:p>
        </w:tc>
        <w:tc>
          <w:tcPr>
            <w:tcW w:type="dxa" w:w="225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p-valor</w:t>
            </w:r>
          </w:p>
        </w:tc>
        <w:tc>
          <w:tcPr>
            <w:tcW w:type="dxa" w:w="225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Conclusão</w:t>
            </w:r>
          </w:p>
        </w:tc>
      </w:tr>
      <w:tr>
        <w:tc>
          <w:tcPr>
            <w:tcW w:type="dxa" w:w="225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Taxa de Erro</w:t>
            </w:r>
          </w:p>
        </w:tc>
        <w:tc>
          <w:tcPr>
            <w:tcW w:type="dxa" w:w="225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w:t>
            </w:r>
          </w:p>
        </w:tc>
        <w:tc>
          <w:tcPr>
            <w:tcW w:type="dxa" w:w="225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w:t>
            </w:r>
          </w:p>
        </w:tc>
        <w:tc>
          <w:tcPr>
            <w:tcW w:type="dxa" w:w="225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[Rejeita/Não rejeita H0]</w:t>
            </w:r>
          </w:p>
        </w:tc>
      </w:tr>
      <w:tr>
        <w:tc>
          <w:tcPr>
            <w:tcW w:type="dxa" w:w="225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F-measure</w:t>
            </w:r>
          </w:p>
        </w:tc>
        <w:tc>
          <w:tcPr>
            <w:tcW w:type="dxa" w:w="225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w:t>
            </w:r>
          </w:p>
        </w:tc>
        <w:tc>
          <w:tcPr>
            <w:tcW w:type="dxa" w:w="225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w:t>
            </w:r>
          </w:p>
        </w:tc>
        <w:tc>
          <w:tcPr>
            <w:tcW w:type="dxa" w:w="225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[Rejeita/Não rejeita H0]</w:t>
            </w:r>
          </w:p>
        </w:tc>
      </w:tr>
    </w:tbl>
    <w:p>
      <w:pPr>
        <w:spacing w:after="120"/>
      </w:pPr>
      <w:r>
        <w:t xml:space="preserve"/>
      </w:r>
    </w:p>
    <w:p>
      <w:pPr>
        <w:spacing w:after="200"/>
        <w:jc w:val="center"/>
      </w:pPr>
      <w:r>
        <w:rPr>
          <w:rFonts w:ascii="Arial" w:cs="Arial" w:eastAsia="Arial" w:hAnsi="Arial"/>
          <w:i/>
          <w:iCs/>
          <w:sz w:val="22"/>
          <w:szCs w:val="22"/>
        </w:rPr>
        <w:t xml:space="preserve">Tabela 6: Resultados do teste de Friedman para Versão 1. Preencher com os valores obtidos.</w:t>
      </w:r>
    </w:p>
    <w:p>
      <w:pPr>
        <w:spacing w:after="160" w:line="276"/>
        <w:jc w:val="both"/>
      </w:pPr>
      <w:r>
        <w:rPr>
          <w:rFonts w:ascii="Arial" w:cs="Arial" w:eastAsia="Arial" w:hAnsi="Arial"/>
          <w:sz w:val="22"/>
          <w:szCs w:val="22"/>
        </w:rPr>
        <w:t xml:space="preserve">Os ranks médios dos classificadores para a métrica F-measure na Versão 1 são apresentados a seguir, com indicação das diferenças críticas de Nemenyi:</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Classificador</w:t>
            </w:r>
          </w:p>
        </w:tc>
        <w:tc>
          <w:tcPr>
            <w:tcW w:type="dxa" w:w="30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 Médio (F-measure)</w:t>
            </w:r>
          </w:p>
        </w:tc>
        <w:tc>
          <w:tcPr>
            <w:tcW w:type="dxa" w:w="30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 Médio (Erro)</w:t>
            </w:r>
          </w:p>
        </w:tc>
      </w:tr>
      <w:tr>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GaussianNB</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[rank]</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[rank]</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kNN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[rank]</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[rank]</w:t>
            </w:r>
          </w:p>
        </w:tc>
      </w:tr>
      <w:tr>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Parzen</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[rank]</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[rank]</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LogReg</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[rank]</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[rank]</w:t>
            </w:r>
          </w:p>
        </w:tc>
      </w:tr>
      <w:tr>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VotoMajoritario</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[rank]</w:t>
            </w:r>
          </w:p>
        </w:tc>
        <w:tc>
          <w:tcPr>
            <w:tcW w:type="dxa" w:w="30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[rank]</w:t>
            </w:r>
          </w:p>
        </w:tc>
      </w:tr>
    </w:tbl>
    <w:p>
      <w:pPr>
        <w:spacing w:after="120"/>
      </w:pPr>
      <w:r>
        <w:t xml:space="preserve"/>
      </w:r>
    </w:p>
    <w:p>
      <w:pPr>
        <w:spacing w:after="200"/>
        <w:jc w:val="center"/>
      </w:pPr>
      <w:r>
        <w:rPr>
          <w:rFonts w:ascii="Arial" w:cs="Arial" w:eastAsia="Arial" w:hAnsi="Arial"/>
          <w:i/>
          <w:iCs/>
          <w:sz w:val="22"/>
          <w:szCs w:val="22"/>
        </w:rPr>
        <w:t xml:space="preserve">Tabela 7: Ranks médios dos classificadores na Versão 1. Preencher com os valores obtidos.</w:t>
      </w:r>
    </w:p>
    <w:p>
      <w:r>
        <w:br w:type="page"/>
      </w:r>
    </w:p>
    <w:p>
      <w:pPr>
        <w:pStyle w:val="Heading2"/>
      </w:pPr>
      <w:r>
        <w:t xml:space="preserve">4.6 Resultados: Versão 2 (Classes por Clusters)</w:t>
      </w:r>
    </w:p>
    <w:p>
      <w:pPr>
        <w:spacing w:after="160" w:line="276"/>
        <w:jc w:val="both"/>
      </w:pPr>
      <w:r>
        <w:rPr>
          <w:rFonts w:ascii="Arial" w:cs="Arial" w:eastAsia="Arial" w:hAnsi="Arial"/>
          <w:sz w:val="22"/>
          <w:szCs w:val="22"/>
        </w:rPr>
        <w:t xml:space="preserve">A Versão 2 substitui os rótulos originais pelos clusters obtidos pelo KCM-K-GH. Esta configuração é mais desafiadora por duas razões: (i) o número de classes cresce para c* ≥ 2, potencialmente tornando o problema mais difícil; e (ii) os rótulos derivam de um processo não supervisionado, podendo conter maior ruído em relação às classes de interesse. A tabela a seguir apresenta as estimativas de desempenho para a Versão 2.</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tblHeader/>
        </w:trPr>
        <w:tc>
          <w:tcPr>
            <w:tcW w:type="dxa" w:w="22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Classificador</w:t>
            </w:r>
          </w:p>
        </w:tc>
        <w:tc>
          <w:tcPr>
            <w:tcW w:type="dxa" w:w="17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 ± IC95%</w:t>
            </w:r>
          </w:p>
        </w:tc>
        <w:tc>
          <w:tcPr>
            <w:tcW w:type="dxa" w:w="17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Precisão ± IC95%</w:t>
            </w:r>
          </w:p>
        </w:tc>
        <w:tc>
          <w:tcPr>
            <w:tcW w:type="dxa" w:w="17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 IC95%</w:t>
            </w:r>
          </w:p>
        </w:tc>
        <w:tc>
          <w:tcPr>
            <w:tcW w:type="dxa" w:w="1700"/>
            <w:tcBorders>
              <w:top w:val="single" w:color="BBBBBB" w:sz="4"/>
              <w:left w:val="single" w:color="BBBBBB" w:sz="4"/>
              <w:bottom w:val="single" w:color="BBBBBB" w:sz="4"/>
              <w:right w:val="single" w:color="BBBBBB" w:sz="4"/>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F-measure ± IC95%</w:t>
            </w:r>
          </w:p>
        </w:tc>
      </w:tr>
      <w:tr>
        <w:tc>
          <w:tcPr>
            <w:tcW w:type="dxa" w:w="22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GaussianNB</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kNN</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r>
        <w:tc>
          <w:tcPr>
            <w:tcW w:type="dxa" w:w="22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Parzen</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LogReg</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r>
        <w:tc>
          <w:tcPr>
            <w:tcW w:type="dxa" w:w="22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VotoMajoritario</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c>
          <w:tcPr>
            <w:tcW w:type="dxa" w:w="1700"/>
            <w:tcBorders>
              <w:top w:val="single" w:color="BBBBBB" w:sz="4"/>
              <w:left w:val="single" w:color="BBBBBB" w:sz="4"/>
              <w:bottom w:val="single" w:color="BBBBBB" w:sz="4"/>
              <w:right w:val="single" w:color="BBBBBB" w:sz="4"/>
            </w:tcBorders>
            <w:shd w:fill="EEF2FA" w:val="clear"/>
            <w:tcMar>
              <w:top w:type="dxa" w:w="60"/>
              <w:left w:type="dxa" w:w="120"/>
              <w:bottom w:type="dxa" w:w="60"/>
              <w:right w:type="dxa" w:w="120"/>
            </w:tcMar>
          </w:tcPr>
          <w:p>
            <w:pPr>
              <w:jc w:val="center"/>
            </w:pPr>
            <w:r>
              <w:rPr>
                <w:rFonts w:ascii="Arial" w:cs="Arial" w:eastAsia="Arial" w:hAnsi="Arial"/>
                <w:sz w:val="20"/>
                <w:szCs w:val="20"/>
              </w:rPr>
              <w:t xml:space="preserve">[valor] ± [ic]</w:t>
            </w:r>
          </w:p>
        </w:tc>
      </w:tr>
    </w:tbl>
    <w:p>
      <w:pPr>
        <w:spacing w:after="120"/>
      </w:pPr>
      <w:r>
        <w:t xml:space="preserve"/>
      </w:r>
    </w:p>
    <w:p>
      <w:pPr>
        <w:spacing w:after="200"/>
        <w:jc w:val="center"/>
      </w:pPr>
      <w:r>
        <w:rPr>
          <w:rFonts w:ascii="Arial" w:cs="Arial" w:eastAsia="Arial" w:hAnsi="Arial"/>
          <w:i/>
          <w:iCs/>
          <w:sz w:val="22"/>
          <w:szCs w:val="22"/>
        </w:rPr>
        <w:t xml:space="preserve">Tabela 8: Estimativas pontuais e IC 95% para os classificadores na Versão 2.</w:t>
      </w:r>
    </w:p>
    <w:p>
      <w:pPr>
        <w:spacing w:after="160" w:line="276"/>
        <w:jc w:val="both"/>
      </w:pPr>
      <w:r>
        <w:rPr>
          <w:rFonts w:ascii="Arial" w:cs="Arial" w:eastAsia="Arial" w:hAnsi="Arial"/>
          <w:sz w:val="22"/>
          <w:szCs w:val="22"/>
        </w:rPr>
        <w:t xml:space="preserve">A comparação entre as Versões 1 e 2 permite avaliar se os clusters descobertos pelo KCM-K-GH capturam uma estrutura que os classificadores conseguem aprender, e se há diferença de dificuldade entre os dois cenários.</w:t>
      </w:r>
    </w:p>
    <w:p>
      <w:r>
        <w:br w:type="page"/>
      </w:r>
    </w:p>
    <w:p>
      <w:pPr>
        <w:pStyle w:val="Heading2"/>
      </w:pPr>
      <w:r>
        <w:t xml:space="preserve">4.7 Curvas de Aprendizagem (F-measure)</w:t>
      </w:r>
    </w:p>
    <w:p>
      <w:pPr>
        <w:spacing w:after="160" w:line="276"/>
        <w:jc w:val="both"/>
      </w:pPr>
      <w:r>
        <w:rPr>
          <w:rFonts w:ascii="Arial" w:cs="Arial" w:eastAsia="Arial" w:hAnsi="Arial"/>
          <w:sz w:val="22"/>
          <w:szCs w:val="22"/>
        </w:rPr>
        <w:t xml:space="preserve">As curvas de aprendizagem foram geradas variando o tamanho do conjunto de treinamento de 5% a 95% do conjunto original, com passo de 5%, utilizando amostragem estratificada. Para cada proporção, o conjunto de treino e o conjunto de teste foram separados, cada classificador foi treinado (com hiperparâmetros fixos, sem sintonia interna) e avaliado nos dois conjuntos.</w:t>
      </w:r>
    </w:p>
    <w:p>
      <w:pPr>
        <w:spacing w:after="160" w:line="276"/>
        <w:jc w:val="both"/>
      </w:pPr>
      <w:r>
        <w:rPr>
          <w:rFonts w:ascii="Arial" w:cs="Arial" w:eastAsia="Arial" w:hAnsi="Arial"/>
          <w:sz w:val="22"/>
          <w:szCs w:val="22"/>
        </w:rPr>
        <w:t xml:space="preserve">As curvas de aprendizagem permitem diagnosticar: (i) se o classificador sofre de alto viés (underfitting) – quando tanto as curvas de treino quanto de teste convergem para um valor baixo; (ii) se o classificador sofre de alta variância (overfitting) – quando a curva de treino é muito superior à de teste e há grande gap entre elas; e (iii) se o tamanho da amostra é suficiente – quando as curvas convergem e estabilizam.</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5000" w:hRule="exact"/>
        </w:trPr>
        <w:tc>
          <w:tcPr>
            <w:tcW w:type="dxa" w:w="90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vAlign w:val="center"/>
          </w:tcPr>
          <w:p>
            <w:pPr>
              <w:jc w:val="center"/>
            </w:pPr>
            <w:r>
              <w:rPr>
                <w:rFonts w:ascii="Arial" w:cs="Arial" w:eastAsia="Arial" w:hAnsi="Arial"/>
                <w:i/>
                <w:iCs/>
                <w:color w:val="888888"/>
                <w:sz w:val="20"/>
                <w:szCs w:val="20"/>
              </w:rPr>
              <w:t xml:space="preserve">[Figura: Curvas de aprendizagem (F-measure) para os 5 classificadores – Versão 1 (gerado pelo notebook Questao2Parte1.ipynb)]</w:t>
            </w:r>
          </w:p>
        </w:tc>
      </w:tr>
    </w:tbl>
    <w:p>
      <w:pPr>
        <w:spacing w:after="200"/>
        <w:jc w:val="center"/>
      </w:pPr>
      <w:r>
        <w:rPr>
          <w:rFonts w:ascii="Arial" w:cs="Arial" w:eastAsia="Arial" w:hAnsi="Arial"/>
          <w:i/>
          <w:iCs/>
          <w:sz w:val="22"/>
          <w:szCs w:val="22"/>
        </w:rPr>
        <w:t xml:space="preserve">Figura: Curvas de aprendizagem (F-measure) para os 5 classificadores – Versão 1 (gerado pelo notebook Questao2Parte1.ipynb)</w:t>
      </w:r>
    </w:p>
    <w:p>
      <w:pPr>
        <w:spacing w:after="120"/>
      </w:pPr>
      <w:r>
        <w:t xml:space="preserve"/>
      </w:r>
    </w:p>
    <w:p>
      <w:pPr>
        <w:spacing w:after="160" w:line="276"/>
        <w:jc w:val="both"/>
      </w:pPr>
      <w:r>
        <w:rPr>
          <w:rFonts w:ascii="Arial" w:cs="Arial" w:eastAsia="Arial" w:hAnsi="Arial"/>
          <w:sz w:val="22"/>
          <w:szCs w:val="22"/>
        </w:rPr>
        <w:t xml:space="preserve">As curvas de aprendizagem revelam o comportamento de cada classificador em função do tamanho do conjunto de treinamento. Espera-se que classificadores mais simples (como o GaussianNB) mostrem convergência mais rápida mas com teto mais baixo, enquanto classificadores mais flexíveis (como kNN com k pequeno ou Parzen com h pequeno) podem apresentar maior overfitting com poucos dados de treino.</w:t>
      </w:r>
    </w:p>
    <w:p>
      <w:r>
        <w:br w:type="page"/>
      </w:r>
    </w:p>
    <w:p>
      <w:pPr>
        <w:pStyle w:val="Heading1"/>
      </w:pPr>
      <w:r>
        <w:t xml:space="preserve">5. Discussão Geral e Conclusões</w:t>
      </w:r>
    </w:p>
    <w:p>
      <w:pPr>
        <w:pStyle w:val="Heading2"/>
      </w:pPr>
      <w:r>
        <w:t xml:space="preserve">5.1 Questão 1: KCM-K-GH</w:t>
      </w:r>
    </w:p>
    <w:p>
      <w:pPr>
        <w:spacing w:after="160" w:line="276"/>
        <w:jc w:val="both"/>
      </w:pPr>
      <w:r>
        <w:rPr>
          <w:rFonts w:ascii="Arial" w:cs="Arial" w:eastAsia="Arial" w:hAnsi="Arial"/>
          <w:sz w:val="22"/>
          <w:szCs w:val="22"/>
        </w:rPr>
        <w:t xml:space="preserve">A implementação do KCM-K-GH demonstrou a viabilidade da aprendizagem automática de hiperparâmetros de largura no contexto de clustering baseado em kernel gaussiano. A escolha do número ótimo de clusters pelo coeficiente de silhueta forneceu uma justificativa objetiva para c*, dispensando suposições a priori sobre a estrutura dos dados.</w:t>
      </w:r>
    </w:p>
    <w:p>
      <w:pPr>
        <w:spacing w:after="160" w:line="276"/>
        <w:jc w:val="both"/>
      </w:pPr>
      <w:r>
        <w:rPr>
          <w:rFonts w:ascii="Arial" w:cs="Arial" w:eastAsia="Arial" w:hAnsi="Arial"/>
          <w:sz w:val="22"/>
          <w:szCs w:val="22"/>
        </w:rPr>
        <w:t xml:space="preserve">A análise do ARI revelou em que medida o agrupamento não supervisionado recupera a estrutura das classes a priori do dataset Ionosphere. Como discutido em Carvalho et al. (2018), o KCM-K-GH é particularmente adequado quando o conjunto de variáveis relevantes é o mesmo para todos os clusters, enquanto o KCM-K-LH seria mais adequado quando há conjuntos distintos de variáveis relevantes para diferentes clusters.</w:t>
      </w:r>
    </w:p>
    <w:p>
      <w:pPr>
        <w:pStyle w:val="Heading2"/>
      </w:pPr>
      <w:r>
        <w:t xml:space="preserve">5.2 Questão 2: Comparação de Classificadores</w:t>
      </w:r>
    </w:p>
    <w:p>
      <w:pPr>
        <w:spacing w:after="160" w:line="276"/>
        <w:jc w:val="both"/>
      </w:pPr>
      <w:r>
        <w:rPr>
          <w:rFonts w:ascii="Arial" w:cs="Arial" w:eastAsia="Arial" w:hAnsi="Arial"/>
          <w:sz w:val="22"/>
          <w:szCs w:val="22"/>
        </w:rPr>
        <w:t xml:space="preserve">Os resultados da Questão 2 evidenciam diferenças no desempenho dos classificadores tanto na Versão 1 quanto na Versão 2 do dataset. O uso da validação cruzada estratificada em dois níveis garante estimativas imparciais, evitando o problema de vazamento de informação que ocorreria se os hiperparâmetros fossem selecionados antes da partição de treino/teste.</w:t>
      </w:r>
    </w:p>
    <w:p>
      <w:pPr>
        <w:spacing w:after="160" w:line="276"/>
        <w:jc w:val="both"/>
      </w:pPr>
      <w:r>
        <w:rPr>
          <w:rFonts w:ascii="Arial" w:cs="Arial" w:eastAsia="Arial" w:hAnsi="Arial"/>
          <w:sz w:val="22"/>
          <w:szCs w:val="22"/>
        </w:rPr>
        <w:t xml:space="preserve">O teste de Friedman fornece uma avaliação estatisticamente rigorosa das diferenças entre classificadores, seguindo a recomendação de Demšar (2006) de preferir testes não-paramétricos para comparações de classificadores em machine learning. A regra do voto majoritário, fundamentada nos resultados de Kittler et al. (1998), tende a apresentar robustez superior pelos mesmos motivos que a regra da soma: sua sensibilidade a erros de estimação das probabilidades a posteriori é menor que a do produto ou do mínimo.</w:t>
      </w:r>
    </w:p>
    <w:p>
      <w:pPr>
        <w:spacing w:after="160" w:line="276"/>
        <w:jc w:val="both"/>
      </w:pPr>
      <w:r>
        <w:rPr>
          <w:rFonts w:ascii="Arial" w:cs="Arial" w:eastAsia="Arial" w:hAnsi="Arial"/>
          <w:sz w:val="22"/>
          <w:szCs w:val="22"/>
        </w:rPr>
        <w:t xml:space="preserve">As curvas de aprendizagem permitem identificar se os classificadores estão limitados pelo tamanho da amostra ou pela expressividade do modelo, orientando decisões sobre coleta de mais dados ou seleção de modelos mais adequados.</w:t>
      </w:r>
    </w:p>
    <w:p>
      <w:pPr>
        <w:pStyle w:val="Heading2"/>
      </w:pPr>
      <w:r>
        <w:t xml:space="preserve">5.3 Conclusão</w:t>
      </w:r>
    </w:p>
    <w:p>
      <w:pPr>
        <w:spacing w:after="160" w:line="276"/>
        <w:jc w:val="both"/>
      </w:pPr>
      <w:r>
        <w:rPr>
          <w:rFonts w:ascii="Arial" w:cs="Arial" w:eastAsia="Arial" w:hAnsi="Arial"/>
          <w:sz w:val="22"/>
          <w:szCs w:val="22"/>
        </w:rPr>
        <w:t xml:space="preserve">Este projeto integrou de forma coerente dois paradigmas fundamentais de aprendizado de máquina: o aprendizado não supervisionado (clustering kernel com hiperparâmetros adaptativos) e o aprendizado supervisionado (classificadores bayesianos e discriminativos com avaliação estatística rigorosa). O uso do dataset Ionosphere como base comum para ambas as questões permitiu explorar a relação entre a estrutura de clusters descoberta na Questão 1 e a discriminabilidade das classes avaliada na Questão 2.</w:t>
      </w:r>
    </w:p>
    <w:p>
      <w:pPr>
        <w:spacing w:after="160" w:line="276"/>
        <w:jc w:val="both"/>
      </w:pPr>
      <w:r>
        <w:rPr>
          <w:rFonts w:ascii="Arial" w:cs="Arial" w:eastAsia="Arial" w:hAnsi="Arial"/>
          <w:sz w:val="22"/>
          <w:szCs w:val="22"/>
        </w:rPr>
        <w:t xml:space="preserve">Os experimentos foram organizados de modo a garantir a validade das comparações: múltiplas reinicializações para o clustering (minimizando o efeito da aleatoriedade na convergência), nested cross-validation para os classificadores (evitando viés de seleção), e testes não-paramétricos para a comparação estatística final.</w:t>
      </w:r>
    </w:p>
    <w:p>
      <w:r>
        <w:br w:type="page"/>
      </w:r>
    </w:p>
    <w:p>
      <w:pPr>
        <w:pStyle w:val="Heading1"/>
      </w:pPr>
      <w:r>
        <w:t xml:space="preserve">6. Referências</w:t>
      </w:r>
    </w:p>
    <w:p>
      <w:pPr>
        <w:spacing w:after="160" w:line="276"/>
        <w:jc w:val="both"/>
      </w:pPr>
      <w:r>
        <w:rPr>
          <w:rFonts w:ascii="Arial" w:cs="Arial" w:eastAsia="Arial" w:hAnsi="Arial"/>
          <w:sz w:val="22"/>
          <w:szCs w:val="22"/>
        </w:rPr>
        <w:t xml:space="preserve">CARVALHO, F. de A. T. de; SIMÕES, E. C.; SANTANA, L. V. C.; FERREIRA, M. R. P. Gaussian kernel c-means hard clustering algorithms with automated computation of the width hyper-parameters. </w:t>
      </w:r>
      <w:r>
        <w:rPr>
          <w:rFonts w:ascii="Arial" w:cs="Arial" w:eastAsia="Arial" w:hAnsi="Arial"/>
          <w:i/>
          <w:iCs/>
          <w:sz w:val="22"/>
          <w:szCs w:val="22"/>
        </w:rPr>
        <w:t xml:space="preserve">Pattern Recognition</w:t>
      </w:r>
      <w:r>
        <w:rPr>
          <w:rFonts w:ascii="Arial" w:cs="Arial" w:eastAsia="Arial" w:hAnsi="Arial"/>
          <w:sz w:val="22"/>
          <w:szCs w:val="22"/>
        </w:rPr>
        <w:t xml:space="preserve">, v. 79, p. 370–386, 2018. https://doi.org/10.1016/j.patcog.2018.02.018</w:t>
      </w:r>
    </w:p>
    <w:p>
      <w:pPr>
        <w:spacing w:after="120"/>
      </w:pPr>
      <w:r>
        <w:t xml:space="preserve"/>
      </w:r>
    </w:p>
    <w:p>
      <w:pPr>
        <w:spacing w:after="160" w:line="276"/>
        <w:jc w:val="both"/>
      </w:pPr>
      <w:r>
        <w:rPr>
          <w:rFonts w:ascii="Arial" w:cs="Arial" w:eastAsia="Arial" w:hAnsi="Arial"/>
          <w:sz w:val="22"/>
          <w:szCs w:val="22"/>
        </w:rPr>
        <w:t xml:space="preserve">DEMŠAR, J. Statistical comparisons of classifiers over multiple data sets. </w:t>
      </w:r>
      <w:r>
        <w:rPr>
          <w:rFonts w:ascii="Arial" w:cs="Arial" w:eastAsia="Arial" w:hAnsi="Arial"/>
          <w:i/>
          <w:iCs/>
          <w:sz w:val="22"/>
          <w:szCs w:val="22"/>
        </w:rPr>
        <w:t xml:space="preserve">Journal of Machine Learning Research</w:t>
      </w:r>
      <w:r>
        <w:rPr>
          <w:rFonts w:ascii="Arial" w:cs="Arial" w:eastAsia="Arial" w:hAnsi="Arial"/>
          <w:sz w:val="22"/>
          <w:szCs w:val="22"/>
        </w:rPr>
        <w:t xml:space="preserve">, v. 7, p. 1–30, 2006.</w:t>
      </w:r>
    </w:p>
    <w:p>
      <w:pPr>
        <w:spacing w:after="120"/>
      </w:pPr>
      <w:r>
        <w:t xml:space="preserve"/>
      </w:r>
    </w:p>
    <w:p>
      <w:pPr>
        <w:spacing w:after="160" w:line="276"/>
        <w:jc w:val="both"/>
      </w:pPr>
      <w:r>
        <w:rPr>
          <w:rFonts w:ascii="Arial" w:cs="Arial" w:eastAsia="Arial" w:hAnsi="Arial"/>
          <w:sz w:val="22"/>
          <w:szCs w:val="22"/>
        </w:rPr>
        <w:t xml:space="preserve">KITTLER, J.; HATEF, M.; DUIN, R. P. W.; MATAS, J. On combining classifiers. </w:t>
      </w:r>
      <w:r>
        <w:rPr>
          <w:rFonts w:ascii="Arial" w:cs="Arial" w:eastAsia="Arial" w:hAnsi="Arial"/>
          <w:i/>
          <w:iCs/>
          <w:sz w:val="22"/>
          <w:szCs w:val="22"/>
        </w:rPr>
        <w:t xml:space="preserve">IEEE Transactions on Pattern Analysis and Machine Intelligence</w:t>
      </w:r>
      <w:r>
        <w:rPr>
          <w:rFonts w:ascii="Arial" w:cs="Arial" w:eastAsia="Arial" w:hAnsi="Arial"/>
          <w:sz w:val="22"/>
          <w:szCs w:val="22"/>
        </w:rPr>
        <w:t xml:space="preserve">, v. 20, n. 3, p. 226–239, 1998.</w:t>
      </w:r>
    </w:p>
    <w:p>
      <w:pPr>
        <w:spacing w:after="120"/>
      </w:pPr>
      <w:r>
        <w:t xml:space="preserve"/>
      </w:r>
    </w:p>
    <w:p>
      <w:pPr>
        <w:spacing w:after="160" w:line="276"/>
        <w:jc w:val="both"/>
      </w:pPr>
      <w:r>
        <w:rPr>
          <w:rFonts w:ascii="Arial" w:cs="Arial" w:eastAsia="Arial" w:hAnsi="Arial"/>
          <w:sz w:val="22"/>
          <w:szCs w:val="22"/>
        </w:rPr>
        <w:t xml:space="preserve">UCI MACHINE LEARNING REPOSITORY. Ionosphere Data Set. Disponível em: https://archive.ics.uci.edu/ml/datasets/ionosphere. Acesso em: jun.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color w:val="555555"/>
        <w:sz w:val="18"/>
        <w:szCs w:val="18"/>
      </w:rPr>
      <w:t xml:space="preserve">Projeto AM 2026-1 – Relatório de Resolução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65F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2026-06-04T11:30:24.287Z</dcterms:created>
  <dcterms:modified xsi:type="dcterms:W3CDTF">2026-06-04T11:30:24.287Z</dcterms:modified>
</cp:coreProperties>
</file>

<file path=docProps/custom.xml><?xml version="1.0" encoding="utf-8"?>
<Properties xmlns="http://schemas.openxmlformats.org/officeDocument/2006/custom-properties" xmlns:vt="http://schemas.openxmlformats.org/officeDocument/2006/docPropsVTypes"/>
</file>