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4"/>
        </w:rPr>
        <w:t>7. SÍNTESE DOS ACHADOS E RECOMENDAÇÕES</w:t>
      </w:r>
    </w:p>
    <w:p/>
    <w:p>
      <w:r>
        <w:t>Este estudo conduziu uma avaliação extensiva de cinco arquiteturas de Inteligência Artificial aplicadas ao ecossistema de criptoativos, com ênfase na fusão de dados On-Chain (Multimodal Data Fusion). As evidências empíricas suportam as seguintes conclusões:</w:t>
      </w:r>
    </w:p>
    <w:p>
      <w:r>
        <w:rPr>
          <w:rFonts w:ascii="Arial" w:hAnsi="Arial"/>
          <w:b/>
          <w:sz w:val="24"/>
        </w:rPr>
        <w:t xml:space="preserve">1. Resiliência de Algoritmos Bio-Inspirados: </w:t>
      </w:r>
      <w:r>
        <w:rPr>
          <w:rFonts w:ascii="Arial" w:hAnsi="Arial"/>
          <w:sz w:val="24"/>
        </w:rPr>
        <w:t>No Cenário III (Simulação Financeira), o Algoritmo Genético (Otimização Evolutiva) demonstrou superioridade crítica na gestão de risco, obtendo o melhor ROI relativo (-0.59%) em um ambiente adverso. Diferentemente dos modelos de Deep Learning (LSTM/TFT), que convergiram para uma postura defensiva estática (-3.64%), a abordagem evolutiva conseguiu navegar a volatilidade preservando o capital com maior eficiência.</w:t>
      </w:r>
    </w:p>
    <w:p>
      <w:r>
        <w:rPr>
          <w:rFonts w:ascii="Arial" w:hAnsi="Arial"/>
          <w:b/>
          <w:sz w:val="24"/>
        </w:rPr>
        <w:t xml:space="preserve">2. Generalização em Redes Neurais: </w:t>
      </w:r>
      <w:r>
        <w:rPr>
          <w:rFonts w:ascii="Arial" w:hAnsi="Arial"/>
          <w:sz w:val="24"/>
        </w:rPr>
        <w:t>Nos testes de robustez temporal (Cenário V - Out of Sample), arquiteturas mais simples como Redes Neurais (MLP) apresentaram menor degradação de performance por overfitting do que modelos complexos de estado da arte (Temporal Fusion Transformers), validando a tese de "parsimônia" em modelagem financeira ruidosa.</w:t>
      </w:r>
    </w:p>
    <w:p>
      <w:r>
        <w:rPr>
          <w:rFonts w:ascii="Arial" w:hAnsi="Arial"/>
          <w:b/>
          <w:sz w:val="24"/>
        </w:rPr>
        <w:t xml:space="preserve">3. Limitações de Machine Learning Clássico: </w:t>
      </w:r>
      <w:r>
        <w:rPr>
          <w:rFonts w:ascii="Arial" w:hAnsi="Arial"/>
          <w:sz w:val="24"/>
        </w:rPr>
        <w:t>O modelo Machine Learning (XGBoost), embora eficaz na classificação de padrões sazonais (Cenário II), apresentou instabilidade severa na execução de trading contínuo (-23.00% de ROI), sugerindo que métodos baseados em árvores podem ser sensíveis a ruídos de microestrutura quando não devidamente regularizados.</w:t>
      </w:r>
    </w:p>
    <w:p>
      <w:r>
        <w:rPr>
          <w:rFonts w:ascii="Arial" w:hAnsi="Arial"/>
          <w:b/>
          <w:sz w:val="24"/>
        </w:rPr>
        <w:t xml:space="preserve">4. Valor do Big Data Institucional: </w:t>
      </w:r>
      <w:r>
        <w:rPr>
          <w:rFonts w:ascii="Arial" w:hAnsi="Arial"/>
          <w:sz w:val="24"/>
        </w:rPr>
        <w:t>A integração de dados de fluxo on-chain (Huobi/Kraken) provou-se valiosa para filtrar falsos sinais de entrada, permitindo que os agentes evitassem perdas catastróficas típicas de estratégias puramente baseadas em preço (Price Action) durante regimes de queda.</w:t>
      </w:r>
    </w:p>
    <w:p/>
    <w:p>
      <w:r>
        <w:rPr>
          <w:b/>
        </w:rPr>
        <w:t>RECOMENDAÇÃO FINAL (ARQUITETURA HÍBRIDA)</w:t>
      </w:r>
    </w:p>
    <w:p>
      <w:r>
        <w:t>Com base na matriz de resultados, recomenda-se a implementação de um Meta-Sistema Híbrido:</w:t>
      </w:r>
    </w:p>
    <w:p>
      <w:r>
        <w:t>Utilizar o Algoritmo Genético para a definição dinâmica de parâmetros de entrada/saída (Stop-Loss/Take-Profit adaptativos), supervisionado por uma camada de Redes Neurais (MLP) atuando como "Oráculo de Veto", bloqueando operações em dias classificados com alta probabilidade de anomalia estatística.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