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06/09/2026 às 10:35:29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(1 Ano) e na evolução dos pesos preditivos, a projeção para os próximos 5 períodos úteis aponta para um preço estimado de BRL 5.6000, comparado ao último fechamento de BRL 5.5000. Isso representa uma variação esperada de +1.82%, com viés de tendência classificado como: Alta Estimada.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0.0150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0.30%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0.9500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80.00%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5.7000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13/02/2025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5.5800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5.4200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5.7200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5.6000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5.7500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1035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1035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