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10:52:26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(1y) e na evolução dos pesos preditivos, a projeção para os próximos 5 períodos úteis aponta para um preço estimado de BRL 5.0864, comparado ao último fechamento de BRL 5.1237. Isso representa uma variação esperada de -0.73%, com viés de tendência classificado como: Baixa Estimada (Bearish).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0.0459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0.0353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0.68%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0.9038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54.10%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07/09/2026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5.0829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4.9930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5.1729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08/09/2026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5.0797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4.9525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5.2070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09/09/2026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5.0838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4.9280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5.2396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10/09/2026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5.0972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4.9173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5.2772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11/09/2026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5.0864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4.8853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5.2876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052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05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