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05/09/2026 às 23:49:55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(6 Meses) e na evolução dos pesos preditivos, a projeção para os próximos 5 períodos úteis aponta para um preço estimado de BRL 5.1160, comparado ao último fechamento de BRL 5.1237. Isso representa uma variação esperada de -0.15%, com viés de tendência classificado como: Baixa (Queda).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0.0352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0.0266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0.52%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0.8212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64.42%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07/09/2026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5.1371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5.0681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5.2060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08/09/2026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5.1362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5.0387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5.2338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09/09/2026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5.1296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5.0101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5.2490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10/09/2026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5.1178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4.9798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5.2557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11/09/2026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5.1160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4.9618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5.2702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5_2349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5_2349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