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55F8E"/>
          <w:sz w:val="20"/>
        </w:rPr>
        <w:t>RELATÓRIO EXECUTIVO DE INTELIGÊNCIA ARTIFICIAL</w:t>
        <w:br/>
      </w:r>
      <w:r>
        <w:rPr>
          <w:b/>
          <w:color w:val="102C57"/>
          <w:sz w:val="40"/>
        </w:rPr>
        <w:t>Previsão e Otimização de Ativos Financeiros via Algoritmo Genético</w:t>
      </w:r>
    </w:p>
    <w:p>
      <w:pPr>
        <w:spacing w:after="320"/>
      </w:pPr>
      <w:r>
        <w:rPr>
          <w:i/>
          <w:color w:val="646464"/>
          <w:sz w:val="20"/>
        </w:rPr>
        <w:t>Ativo Analisado: Dólar (USD/BRL) (USDBRL=X) | Data de Emissão: 05/09/2026 às 23:50:12</w:t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Resumo Executivo e Projeção Futura</w:t>
      </w:r>
    </w:p>
    <w:p>
      <w:pPr>
        <w:spacing w:line="300" w:lineRule="auto" w:after="280"/>
      </w:pPr>
      <w:r>
        <w:t>O presente relatório consolida o resultado do treinamento e otimização por Algoritmo Genético para o ativo Dólar (USD/BRL) (USDBRL=X), cotado em BRL. Com base na série temporal do período (6 Meses) e na evolução dos pesos preditivos, a projeção para os próximos 5 períodos úteis aponta para um preço estimado de BRL 5.1160, comparado ao último fechamento de BRL 5.1237. Isso representa uma variação esperada de -0.15%, com viés de tendência classificado como: Baixa (Queda).</w:t>
      </w:r>
    </w:p>
    <w:p>
      <w:pPr>
        <w:pStyle w:val="Heading1"/>
      </w:pPr>
      <w:r>
        <w:t>2. Métricas Estatísticas de Aderência do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 Estatística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Obtido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Interpretação Técnica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RMSE (Raiz do Erro Quadrático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0.0352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médio ponderado em magnitude absoluta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MAE (Erro Absoluto Médio)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0.0266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Desvio médio linear entre o real e o previsto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MAPE (Erro Percentual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0.52%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relativo médio em termos percentuais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Coeficiente de Determinação (R²)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0.8212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Capacidade explicativa da variabilidade da série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Acurácia Direcional de Sinal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64.42%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acerto na previsão do sentido do movimento (Alta/Baixa)</w:t>
            </w:r>
          </w:p>
        </w:tc>
      </w:tr>
    </w:tbl>
    <w:p>
      <w:pPr>
        <w:spacing w:after="240"/>
      </w:pPr>
    </w:p>
    <w:p>
      <w:pPr>
        <w:pStyle w:val="Heading1"/>
      </w:pPr>
      <w:r>
        <w:t>3. Hiperparâmetros do Algoritmo Genético Empregado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Parâmetro Evolutivo</w:t>
            </w:r>
          </w:p>
        </w:tc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Configurado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Tamanho da População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30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Número de Gerações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15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Recombinação (Crossover)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85.0%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Mutação Gênica Adaptativa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15.0%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Proporção de Elitismo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Janela de Lookback Temporal (Lags)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10 períodos</w:t>
            </w:r>
          </w:p>
        </w:tc>
      </w:tr>
    </w:tbl>
    <w:p>
      <w:pPr>
        <w:spacing w:after="240"/>
      </w:pPr>
    </w:p>
    <w:p>
      <w:pPr>
        <w:pStyle w:val="Heading1"/>
      </w:pPr>
      <w:r>
        <w:t>4. Projeção Passo a Passo para os Próximos 5 Dias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Futura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Preço Previsto (BRL)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Inferior (95%)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Superior (95%)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07/09/2026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5.1371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5.0681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5.2060</w:t>
            </w:r>
          </w:p>
        </w:tc>
      </w:tr>
      <w:tr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08/09/2026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5.1362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5.0387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5.2338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09/09/2026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5.1296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5.0101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5.2490</w:t>
            </w:r>
          </w:p>
        </w:tc>
      </w:tr>
      <w:tr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10/09/2026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5.1178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4.9798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5.2557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11/09/2026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5.1160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4.9618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5.2702</w:t>
            </w:r>
          </w:p>
        </w:tc>
      </w:tr>
    </w:tbl>
    <w:p>
      <w:pPr>
        <w:spacing w:after="320"/>
      </w:pPr>
    </w:p>
    <w:p>
      <w:pPr>
        <w:pStyle w:val="Heading1"/>
      </w:pPr>
      <w:r>
        <w:t>5. Visualização Gráfica e Curva de Aprendizado</w:t>
      </w:r>
    </w:p>
    <w:p>
      <w:r>
        <w:rPr>
          <w:b/>
          <w:sz w:val="21"/>
        </w:rPr>
        <w:t>Figura 1: Série Histórica, Ajuste da Inteligência Artificial e Projeção Futura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ed_20260905_2350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r>
        <w:rPr>
          <w:b/>
          <w:sz w:val="21"/>
        </w:rPr>
        <w:t>Figura 2: Curva de Convergência Evolutiva do Algoritmo Genético (Fitness por Geração)</w:t>
      </w: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v_20260905_2350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1"/>
      </w:pPr>
      <w:r>
        <w:t>6. Conclusões e Metodologia</w:t>
      </w:r>
    </w:p>
    <w:p>
      <w:pPr>
        <w:spacing w:line="300" w:lineRule="auto"/>
      </w:pPr>
      <w:r>
        <w:t>O Algoritmo Genético atingiu convergência estável no espaço de busca, combinando mecanismos de seleção por torneio e mutação adaptativa decrescente para mitigar o aprisionamento em mínimos locais. A incorporação de múltiplos indicadores técnicos (RSI, Bandas de Bollinger, Médias Móveis e MACD) em conjunto com defasagens autorregressivas (lags) confere resiliência e estabilidade preditiva às séries temporais financeiras e de commodities. Recomenda-se a re-otimização periódica (ensaios contínuos) conforme novas cotações sejam consolidadas no mercado.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