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120"/>
      </w:pPr>
      <w:r>
        <w:t xml:space="preserve">XAGUSD (prata) — padrões intraday por horário (alvo ou 23:30, sem stop)</w:t>
      </w:r>
    </w:p>
    <w:p>
      <w:pPr>
        <w:spacing w:before="0" w:after="120"/>
      </w:pPr>
      <w:r>
        <w:t xml:space="preserve">Tabela completa · Raw Trading (IC Markets) · M15 · 22/01/2024 a 16/10/2026 (685 dias úteis) · horários do servidor</w:t>
      </w:r>
    </w:p>
    <w:p>
      <w:pPr>
        <w:pStyle w:val="Heading1"/>
        <w:keepNext/>
        <w:spacing w:before="240" w:after="120"/>
      </w:pPr>
      <w:r>
        <w:t xml:space="preserve">1. Regra e como ler</w:t>
      </w:r>
    </w:p>
    <w:p>
      <w:pPr>
        <w:spacing w:before="0" w:after="40"/>
      </w:pPr>
      <w:r>
        <w:t xml:space="preserve">•  Entrada na abertura da vela M15 do horário (hora do servidor). Sai quando o preço atinge o alvo a favor ou às 23:30 do servidor (fechamento da vela 23:15). Sem stop; 1 operação por dia útil por horário. Cada combinação é horário x lado x alvo.</w:t>
      </w:r>
    </w:p>
    <w:p>
      <w:pPr>
        <w:spacing w:before="0" w:after="40"/>
      </w:pPr>
      <w:r>
        <w:t xml:space="preserve">•  Varredura: horários de 15 em 15 min (00:00 a 22:00) x 2 lados x 6 alvos (50, 100, 150, 200, 300, 500 pts); 1020 combinações com dados suficientes. 1 ponto = 0,001 de preço = US$ 1,00 por lote (contrato de 1.000 onças). O ATR M15 mediano é de 101 pts.</w:t>
      </w:r>
    </w:p>
    <w:p>
      <w:pPr>
        <w:spacing w:before="0" w:after="40"/>
      </w:pPr>
      <w:r>
        <w:t xml:space="preserve">•  Custo: spread medido nos ticks (23 pts = US$ 23,34 por lote, constante ao longo do dia). A compra paga o spread na entrada e a venda paga no fechamento. COMISSÃO NÃO ESTÁ INCLUÍDA (o MBA não consegue ler a comissão da conta); veja a seção 5. Slippage e swap também não.</w:t>
      </w:r>
    </w:p>
    <w:p>
      <w:pPr>
        <w:spacing w:before="0" w:after="40"/>
      </w:pPr>
      <w:r>
        <w:t xml:space="preserve">•  % alvo = % dos dias em que o alvo foi atingido. Wilson 95% = limite inferior estatístico dessa taxa. % desc. / % valid. = taxa nos primeiros 60% dos dias e nos últimos 40% (validação cronológica).</w:t>
      </w:r>
    </w:p>
    <w:p>
      <w:pPr>
        <w:spacing w:before="0" w:after="40"/>
      </w:pPr>
      <w:r>
        <w:t xml:space="preserve">•  Média/dia = resultado médio por operação em pts (já com o spread). Dias s/ alvo = dias em que o alvo não foi atingido e a operação fechou às 23:30; Perda média s/ alvo = resultado médio desses dias.</w:t>
      </w:r>
    </w:p>
    <w:p>
      <w:pPr>
        <w:spacing w:before="0" w:after="40"/>
      </w:pPr>
      <w:r>
        <w:t xml:space="preserve">•  % p/ empatar = taxa de acerto necessária para a média zerar, dada a perda média dos dias sem alvo. Se Wilson 95% &gt; % p/ empatar, o horário tem lucro mesmo no cenário estatístico pessimista.</w:t>
      </w:r>
    </w:p>
    <w:p>
      <w:pPr>
        <w:spacing w:before="0" w:after="40"/>
      </w:pPr>
      <w:r>
        <w:t xml:space="preserve">•  MAE médio = quanto o preço andou contra a posição até o fechamento. Min. mediana = tempo mediano até o alvo. Anos 24/25/26 = sinal da média em cada ano.</w:t>
      </w:r>
    </w:p>
    <w:p>
      <w:pPr>
        <w:pStyle w:val="Heading1"/>
        <w:keepNext/>
        <w:spacing w:before="240" w:after="120"/>
      </w:pPr>
      <w:r>
        <w:t xml:space="preserve">2. Resumo do que a varredura encontrou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10469"/>
        <w:gridCol w:w="5235"/>
      </w:tblGrid>
      <w:tr>
        <w:trPr>
          <w:cantSplit/>
          <w:tblHeader/>
        </w:trPr>
        <w:tc>
          <w:tcPr>
            <w:tcW w:w="1046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w="52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Combinações testadas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1.020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Média &gt; 0 no período todo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36 (4%)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Média &gt; 0 na descoberta E na validação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... e também positivas em cada um dos 3 anos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... e com Wilson 95% &gt; % necessário para empatar (robustas)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Dessas robustas, quantas são COMPRA / VENDA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1 / 0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Placebo (40 rodadas, horários embaralhados dentro do dia): robustas por acaso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média 0,5; máximo 3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Placebo: positivas nos 2 trechos e nos 3 anos por acaso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média 1,6; máximo 5 (real: 3)</w:t>
            </w:r>
          </w:p>
        </w:tc>
      </w:tr>
      <w:tr>
        <w:trPr>
          <w:cantSplit/>
        </w:trPr>
        <w:tc>
          <w:tcPr>
            <w:tcW w:w="10469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Com alvo atingido em 80% ou mais dos dias</w:t>
            </w:r>
          </w:p>
        </w:tc>
        <w:tc>
          <w:tcPr>
            <w:tcW w:w="5235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240</w:t>
            </w:r>
          </w:p>
        </w:tc>
      </w:tr>
      <w:tr>
        <w:trPr>
          <w:cantSplit/>
        </w:trPr>
        <w:tc>
          <w:tcPr>
            <w:tcW w:w="10469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... dessas, positivas nos 2 trechos / também nos 3 anos / robustas</w:t>
            </w:r>
          </w:p>
        </w:tc>
        <w:tc>
          <w:tcPr>
            <w:tcW w:w="5235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2 / 2 / 1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Leitura: as combinações robustas reais (1) comparadas com o placebo (média 0,5, máximo 3) mostram se há sinal acima do acaso: não há diferença clara, mas o tamanho do ganho por operação é pequeno (seção 5).</w:t>
      </w:r>
    </w:p>
    <w:p>
      <w:pPr>
        <w:pStyle w:val="Heading1"/>
        <w:keepNext/>
        <w:spacing w:before="240" w:after="120"/>
      </w:pPr>
      <w:r>
        <w:t xml:space="preserve">3. As 1 combinações mais robustas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Filtro: média &gt; 0 na descoberta e na validação, positivas em todos os anos, e Wilson 95% maior que o % necessário para empatar. Ordenadas por média/dia. Horários vizinhos não são amostras independentes.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240" w:after="120"/>
      </w:pPr>
      <w:r>
        <w:t xml:space="preserve">4. Só as combinações com alvo atingido em 80% ou mais dos dias</w:t>
      </w:r>
    </w:p>
    <w:p>
      <w:pPr>
        <w:spacing w:before="0" w:after="40"/>
      </w:pPr>
      <w:r>
        <w:t xml:space="preserve">•  Partindo das 1020 combinações: 240 atingem o alvo em 80%+ dos dias (todas com alvos de 50 a 150 pts). Dessas, 5 têm média positiva, 2 são positivas nos dois trechos, 2 também nos 3 anos e 1 são robustas.</w:t>
      </w:r>
    </w:p>
    <w:p>
      <w:pPr>
        <w:spacing w:before="0" w:after="40"/>
      </w:pPr>
      <w:r>
        <w:t xml:space="preserve">•  Acertar 80% ou mais não basta: sem stop, os dias sem alvo perdem várias vezes o alvo. Por isso a lista abaixo exige média positiva nos dois trechos.</w:t>
      </w:r>
    </w:p>
    <w:p>
      <w:pPr>
        <w:spacing w:before="0" w:after="40"/>
      </w:pPr>
      <w:r>
        <w:rPr>
          <w:b/>
          <w:sz w:val="18"/>
          <w:szCs w:val="18"/>
        </w:rPr>
        <w:t xml:space="preserve">4.1 2 combinações com 80%+ de acerto e média positiva nos dois trechos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b/>
          <w:sz w:val="18"/>
          <w:szCs w:val="18"/>
        </w:rPr>
        <w:t xml:space="preserve">4.2 As mais sólidas: 80%+ de acerto e positivas em todos os anos (2)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</w:tbl>
    <w:p>
      <w:pPr>
        <w:spacing w:before="0" w:after="60"/>
      </w:pPr>
    </w:p>
    <w:p>
      <w:pPr>
        <w:spacing w:before="0" w:after="60"/>
      </w:pPr>
      <w:r>
        <w:t xml:space="preserve">Robustas entre elas: 01:00 compra alvo 100.</w:t>
      </w:r>
    </w:p>
    <w:p>
      <w:pPr>
        <w:spacing w:before="0" w:after="40"/>
      </w:pPr>
      <w:r>
        <w:rPr>
          <w:b/>
          <w:sz w:val="18"/>
          <w:szCs w:val="18"/>
        </w:rPr>
        <w:t xml:space="preserve">Dias sem alvo e perda: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3020"/>
        <w:gridCol w:w="1812"/>
        <w:gridCol w:w="1812"/>
        <w:gridCol w:w="1812"/>
        <w:gridCol w:w="1812"/>
        <w:gridCol w:w="3020"/>
        <w:gridCol w:w="2416"/>
      </w:tblGrid>
      <w:tr>
        <w:trPr>
          <w:cantSplit/>
          <w:tblHeader/>
        </w:trPr>
        <w:tc>
          <w:tcPr>
            <w:tcW w:w="302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Horário · alvo</w:t>
            </w:r>
          </w:p>
        </w:tc>
        <w:tc>
          <w:tcPr>
            <w:tcW w:w="18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Dias sem alvo</w:t>
            </w:r>
          </w:p>
        </w:tc>
        <w:tc>
          <w:tcPr>
            <w:tcW w:w="18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Perda média</w:t>
            </w:r>
          </w:p>
        </w:tc>
        <w:tc>
          <w:tcPr>
            <w:tcW w:w="18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Pior 10%</w:t>
            </w:r>
          </w:p>
        </w:tc>
        <w:tc>
          <w:tcPr>
            <w:tcW w:w="181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Pior dia</w:t>
            </w:r>
          </w:p>
        </w:tc>
        <w:tc>
          <w:tcPr>
            <w:tcW w:w="302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Dias sem alvo que fecharam no lucro</w:t>
            </w:r>
          </w:p>
        </w:tc>
        <w:tc>
          <w:tcPr>
            <w:tcW w:w="241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Acertos para pagar 1 falha</w:t>
            </w:r>
          </w:p>
        </w:tc>
      </w:tr>
      <w:tr>
        <w:trPr>
          <w:cantSplit/>
        </w:trPr>
        <w:tc>
          <w:tcPr>
            <w:tcW w:w="3020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01:00 compra · 100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68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-586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-1.173</w:t>
            </w:r>
          </w:p>
        </w:tc>
        <w:tc>
          <w:tcPr>
            <w:tcW w:w="181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-3.535</w:t>
            </w:r>
          </w:p>
        </w:tc>
        <w:tc>
          <w:tcPr>
            <w:tcW w:w="302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5,9</w:t>
            </w:r>
          </w:p>
        </w:tc>
      </w:tr>
      <w:tr>
        <w:trPr>
          <w:cantSplit/>
        </w:trPr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06:45 compra · 50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46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-577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-1.120</w:t>
            </w:r>
          </w:p>
        </w:tc>
        <w:tc>
          <w:tcPr>
            <w:tcW w:w="181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-2.456</w:t>
            </w:r>
          </w:p>
        </w:tc>
        <w:tc>
          <w:tcPr>
            <w:tcW w:w="302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0%</w:t>
            </w:r>
          </w:p>
        </w:tc>
        <w:tc>
          <w:tcPr>
            <w:tcW w:w="241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11,5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01:00 compra · alvo 100 · 68 dias sem alvo</w:t>
      </w:r>
    </w:p>
    <w:p>
      <w:pPr>
        <w:spacing w:before="0" w:after="60"/>
      </w:pPr>
      <w:r>
        <w:rPr>
          <w:sz w:val="15"/>
          <w:szCs w:val="15"/>
        </w:rPr>
        <w:t xml:space="preserve">26/01/24 (-105); 30/01/24 (-48); 02/02/24 (-511); 05/02/24 (-400); 07/02/24 (-245); 26/02/24 (-434); 28/02/24 (-26); 19/03/24 (-141); 22/04/24 (-1.454); 30/04/24 (-871); 07/05/24 (-204); 11/06/24 (-558); 13/06/24 (-763); 17/06/24 (-103); 25/06/24 (-705); 12/07/24 (-680); 19/07/24 (-616); 25/07/24 (-1.104); 05/08/24 (-1.422); 13/08/24 (-131); 22/08/24 (-662); 03/09/24 (-545); 23/09/24 (-553); 08/10/24 (-1.032); 23/10/24 (-1.190); 30/10/24 (-750); 06/11/24 (-1.492); 08/11/24 (-779); 20/11/24 (-388); 02/12/24 (-139); 06/12/24 (-378); 17/12/24 (-15); 18/12/24 (-1.163); 31/12/24 (-74); 13/01/25 (-845); 17/01/25 (-509); 23/01/25 (-384); 31/01/25 (-311); 27/02/25 (-701); 07/03/25 (-156); 17/03/25 (-21); 19/03/25 (-239); 21/03/25 (-573); 15/04/25 (-85); 25/04/25 (-535); 01/05/25 (-247); 07/05/25 (-832); 14/05/25 (-723); 16/05/25 (-390); 27/05/25 (-242); 30/05/25 (-367); 03/06/25 (-213); 10/06/25 (-223); 11/06/25 (-314); 20/06/25 (-335); 27/06/25 (-719); 08/07/25 (-95); 09/07/25 (-424); 24/07/25 (-263); 30/07/25 (-1.166); 15/08/25 (-54); 25/08/25 (-355); 04/09/25 (-457); 17/09/25 (-971); 16/12/25 (-466); 07/07/26 (-2.024); 28/07/26 (-1.406); 28/09/26 (-3.535)</w:t>
      </w:r>
    </w:p>
    <w:p>
      <w:pPr>
        <w:pStyle w:val="Heading3"/>
        <w:keepNext/>
        <w:spacing w:before="140" w:after="60"/>
      </w:pPr>
      <w:r>
        <w:t xml:space="preserve">06:45 compra · alvo 50 · 46 dias sem alvo</w:t>
      </w:r>
    </w:p>
    <w:p>
      <w:pPr>
        <w:spacing w:before="0" w:after="60"/>
      </w:pPr>
      <w:r>
        <w:rPr>
          <w:sz w:val="15"/>
          <w:szCs w:val="15"/>
        </w:rPr>
        <w:t xml:space="preserve">22/01/24 (-467); 05/02/24 (-232); 21/02/24 (-305); 26/02/24 (-340); 19/03/24 (-224); 16/04/24 (-666); 22/04/24 (-792); 30/04/24 (-696); 12/07/24 (-435); 17/07/24 (-869); 19/07/24 (-458); 22/07/24 (-31); 06/08/24 (-290); 28/08/24 (-669); 03/09/24 (-453); 23/09/24 (-434); 07/10/24 (-402); 20/11/24 (-344); 25/11/24 (-513); 06/12/24 (-477); 27/12/24 (-532); 17/01/25 (-462); 22/01/25 (-126); 24/02/25 (-346); 25/02/25 (-629); 28/02/25 (-115); 07/03/25 (-109); 01/04/25 (-489); 25/04/25 (-459); 02/05/25 (-649); 27/05/25 (-90); 11/06/25 (-347); 12/06/25 (-61); 24/06/25 (-245); 14/08/25 (-591); 15/08/25 (-87); 04/11/25 (-1.009); 14/11/25 (-2.456); 04/12/25 (-1.159); 22/12/25 (-443); 08/01/26 (-791); 27/04/26 (-1.094); 28/04/26 (-1.618); 11/08/26 (-1.146); 26/08/26 (-1.305); 07/10/26 (-1.070)</w:t>
      </w:r>
    </w:p>
    <w:p>
      <w:pPr>
        <w:pStyle w:val="Heading1"/>
        <w:keepNext/>
        <w:spacing w:before="240" w:after="120"/>
      </w:pPr>
      <w:r>
        <w:t xml:space="preserve">5. Estabilidade das 8 melhores robustas e efeito da comissão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532"/>
        <w:gridCol w:w="1519"/>
        <w:gridCol w:w="1519"/>
        <w:gridCol w:w="1519"/>
        <w:gridCol w:w="1519"/>
        <w:gridCol w:w="2026"/>
        <w:gridCol w:w="1519"/>
        <w:gridCol w:w="3551"/>
      </w:tblGrid>
      <w:tr>
        <w:trPr>
          <w:cantSplit/>
          <w:tblHeader/>
        </w:trPr>
        <w:tc>
          <w:tcPr>
            <w:tcW w:w="253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Horário · alvo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Média/dia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2024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2025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2026</w:t>
            </w:r>
          </w:p>
        </w:tc>
        <w:tc>
          <w:tcPr>
            <w:tcW w:w="202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 sem os 3 melhores meses</w:t>
            </w:r>
          </w:p>
        </w:tc>
        <w:tc>
          <w:tcPr>
            <w:tcW w:w="151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Trimestres positivos</w:t>
            </w:r>
          </w:p>
        </w:tc>
        <w:tc>
          <w:tcPr>
            <w:tcW w:w="355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 seg · ter · qua · qui · sex</w:t>
            </w:r>
          </w:p>
        </w:tc>
      </w:tr>
      <w:tr>
        <w:trPr>
          <w:cantSplit/>
        </w:trPr>
        <w:tc>
          <w:tcPr>
            <w:tcW w:w="2532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01:00 compra · 100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32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35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63</w:t>
            </w:r>
          </w:p>
        </w:tc>
        <w:tc>
          <w:tcPr>
            <w:tcW w:w="20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25</w:t>
            </w:r>
          </w:p>
        </w:tc>
        <w:tc>
          <w:tcPr>
            <w:tcW w:w="151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8/12</w:t>
            </w:r>
          </w:p>
        </w:tc>
        <w:tc>
          <w:tcPr>
            <w:tcW w:w="355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21 23 18 61 36</w:t>
            </w:r>
          </w:p>
        </w:tc>
      </w:tr>
    </w:tbl>
    <w:p>
      <w:pPr>
        <w:spacing w:before="0" w:after="60"/>
      </w:pPr>
    </w:p>
    <w:p>
      <w:pPr>
        <w:spacing w:before="0" w:after="40"/>
      </w:pPr>
      <w:r>
        <w:rPr>
          <w:b/>
          <w:sz w:val="18"/>
          <w:szCs w:val="18"/>
        </w:rPr>
        <w:t xml:space="preserve">Comissão por operação (aplicada às robustas):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3926"/>
        <w:gridCol w:w="3926"/>
        <w:gridCol w:w="3140"/>
        <w:gridCol w:w="2355"/>
        <w:gridCol w:w="2357"/>
      </w:tblGrid>
      <w:tr>
        <w:trPr>
          <w:cantSplit/>
          <w:tblHeader/>
        </w:trPr>
        <w:tc>
          <w:tcPr>
            <w:tcW w:w="392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Comissão</w:t>
            </w:r>
          </w:p>
        </w:tc>
        <w:tc>
          <w:tcPr>
            <w:tcW w:w="3926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Robustas positivas nos 2 trechos</w:t>
            </w:r>
          </w:p>
        </w:tc>
        <w:tc>
          <w:tcPr>
            <w:tcW w:w="314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Robustas com média &gt; 0</w:t>
            </w:r>
          </w:p>
        </w:tc>
        <w:tc>
          <w:tcPr>
            <w:tcW w:w="235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Melhor média/dia</w:t>
            </w:r>
          </w:p>
        </w:tc>
        <w:tc>
          <w:tcPr>
            <w:tcW w:w="2357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  <w:szCs w:val="15"/>
              </w:rPr>
              <w:t xml:space="preserve">Mediana das médias</w:t>
            </w:r>
          </w:p>
        </w:tc>
      </w:tr>
      <w:tr>
        <w:trPr>
          <w:cantSplit/>
        </w:trPr>
        <w:tc>
          <w:tcPr>
            <w:tcW w:w="3926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0 pts (US$ 0,00 por lote)</w:t>
            </w:r>
          </w:p>
        </w:tc>
        <w:tc>
          <w:tcPr>
            <w:tcW w:w="39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314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32</w:t>
            </w:r>
          </w:p>
        </w:tc>
        <w:tc>
          <w:tcPr>
            <w:tcW w:w="235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32</w:t>
            </w:r>
          </w:p>
        </w:tc>
      </w:tr>
      <w:tr>
        <w:trPr>
          <w:cantSplit/>
        </w:trPr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10 pts (US$ 10,00 por lote)</w:t>
            </w:r>
          </w:p>
        </w:tc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314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22</w:t>
            </w:r>
          </w:p>
        </w:tc>
        <w:tc>
          <w:tcPr>
            <w:tcW w:w="235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22</w:t>
            </w:r>
          </w:p>
        </w:tc>
      </w:tr>
      <w:tr>
        <w:trPr>
          <w:cantSplit/>
        </w:trPr>
        <w:tc>
          <w:tcPr>
            <w:tcW w:w="3926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20 pts (US$ 20,00 por lote)</w:t>
            </w:r>
          </w:p>
        </w:tc>
        <w:tc>
          <w:tcPr>
            <w:tcW w:w="39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314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w="235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12</w:t>
            </w:r>
          </w:p>
        </w:tc>
      </w:tr>
      <w:tr>
        <w:trPr>
          <w:cantSplit/>
        </w:trPr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30 pts (US$ 30,00 por lote)</w:t>
            </w:r>
          </w:p>
        </w:tc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314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235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w="3926" w:type="dxa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50 pts (US$ 50,00 por lote)</w:t>
            </w:r>
          </w:p>
        </w:tc>
        <w:tc>
          <w:tcPr>
            <w:tcW w:w="392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314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235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-18</w:t>
            </w:r>
          </w:p>
        </w:tc>
        <w:tc>
          <w:tcPr>
            <w:tcW w:w="235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-18</w:t>
            </w:r>
          </w:p>
        </w:tc>
      </w:tr>
      <w:tr>
        <w:trPr>
          <w:cantSplit/>
        </w:trPr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</w:rPr>
              <w:t xml:space="preserve">70 pts (US$ 70,00 por lote)</w:t>
            </w:r>
          </w:p>
        </w:tc>
        <w:tc>
          <w:tcPr>
            <w:tcW w:w="3926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314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235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-38</w:t>
            </w:r>
          </w:p>
        </w:tc>
        <w:tc>
          <w:tcPr>
            <w:tcW w:w="235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5"/>
                <w:szCs w:val="15"/>
              </w:rPr>
              <w:t xml:space="preserve">-38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A comissão real da conta não foi lida pelo MBA; confira a sua. A média das robustas é de 32 a 32 pts por dia (US$ 31,7 a 31,7 por lote). Uma comissão de 30 a 70 pts elimina a maior parte do resultado.</w:t>
      </w:r>
    </w:p>
    <w:p>
      <w:pPr>
        <w:pStyle w:val="Heading1"/>
        <w:keepNext/>
        <w:spacing w:before="240" w:after="120"/>
      </w:pPr>
      <w:r>
        <w:t xml:space="preserve">6. Combinações positivas nos dois trechos</w:t>
      </w:r>
    </w:p>
    <w:p>
      <w:pPr>
        <w:pStyle w:val="Heading3"/>
        <w:keepNext/>
        <w:spacing w:before="140" w:after="60"/>
      </w:pPr>
      <w:r>
        <w:t xml:space="preserve">COMPRA · alvo 50 pts · 1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-2.456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100 pts · 1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-586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-3.535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300 pts · 1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-8.016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-+-</w:t>
            </w:r>
          </w:p>
        </w:tc>
      </w:tr>
    </w:tbl>
    <w:p>
      <w:pPr>
        <w:spacing w:before="0" w:after="60"/>
      </w:pPr>
    </w:p>
    <w:p>
      <w:pPr>
        <w:pStyle w:val="Heading3"/>
        <w:keepNext/>
        <w:spacing w:before="140" w:after="60"/>
      </w:pPr>
      <w:r>
        <w:t xml:space="preserve">COMPRA · alvo 500 pts · 2 combinações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2"/>
                <w:szCs w:val="12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-7.602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2"/>
                <w:szCs w:val="12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-328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-4.328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555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2"/>
                <w:szCs w:val="12"/>
              </w:rPr>
              <w:t xml:space="preserve">+++</w:t>
            </w:r>
          </w:p>
        </w:tc>
      </w:tr>
    </w:tbl>
    <w:p>
      <w:pPr>
        <w:spacing w:before="0" w:after="60"/>
      </w:pPr>
    </w:p>
    <w:p>
      <w:pPr>
        <w:spacing w:before="0" w:after="60"/>
      </w:pPr>
      <w:r>
        <w:t xml:space="preserve">Nenhuma venda é positiva nos dois trechos.</w:t>
      </w:r>
    </w:p>
    <w:p>
      <w:pPr>
        <w:pStyle w:val="Heading1"/>
        <w:keepNext/>
        <w:spacing w:before="240" w:after="120"/>
      </w:pPr>
      <w:r>
        <w:t xml:space="preserve">7. Compra x venda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944"/>
        <w:gridCol w:w="2944"/>
        <w:gridCol w:w="4907"/>
        <w:gridCol w:w="4909"/>
      </w:tblGrid>
      <w:tr>
        <w:trPr>
          <w:cantSplit/>
          <w:tblHeader/>
        </w:trPr>
        <w:tc>
          <w:tcPr>
            <w:tcW w:w="294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Lado</w:t>
            </w:r>
          </w:p>
        </w:tc>
        <w:tc>
          <w:tcPr>
            <w:tcW w:w="2944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Alvo (pts)</w:t>
            </w:r>
          </w:p>
        </w:tc>
        <w:tc>
          <w:tcPr>
            <w:tcW w:w="4907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% alvo médio (todos os horários)</w:t>
            </w:r>
          </w:p>
        </w:tc>
        <w:tc>
          <w:tcPr>
            <w:tcW w:w="4909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4"/>
                <w:szCs w:val="14"/>
              </w:rPr>
              <w:t xml:space="preserve">Média/dia média (todos os horários)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84,4%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-28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74,9%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-31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150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66,7%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-33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59,7%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-35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49,1%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-34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COMPRA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34,5%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-33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83,6%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-32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74,9%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-32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150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67,5%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-35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200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60,9%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-36</w:t>
            </w:r>
          </w:p>
        </w:tc>
      </w:tr>
      <w:tr>
        <w:trPr>
          <w:cantSplit/>
        </w:trPr>
        <w:tc>
          <w:tcPr>
            <w:tcW w:w="2944" w:type="dxa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300</w:t>
            </w:r>
          </w:p>
        </w:tc>
        <w:tc>
          <w:tcPr>
            <w:tcW w:w="4907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49,8%</w:t>
            </w:r>
          </w:p>
        </w:tc>
        <w:tc>
          <w:tcPr>
            <w:tcW w:w="49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-37</w:t>
            </w:r>
          </w:p>
        </w:tc>
      </w:tr>
      <w:tr>
        <w:trPr>
          <w:cantSplit/>
        </w:trPr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</w:rPr>
              <w:t xml:space="preserve">VENDA</w:t>
            </w:r>
          </w:p>
        </w:tc>
        <w:tc>
          <w:tcPr>
            <w:tcW w:w="2944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500</w:t>
            </w:r>
          </w:p>
        </w:tc>
        <w:tc>
          <w:tcPr>
            <w:tcW w:w="4907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34,7%</w:t>
            </w:r>
          </w:p>
        </w:tc>
        <w:tc>
          <w:tcPr>
            <w:tcW w:w="4909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4"/>
                <w:szCs w:val="14"/>
              </w:rPr>
              <w:t xml:space="preserve">-41</w:t>
            </w:r>
          </w:p>
        </w:tc>
      </w:tr>
    </w:tbl>
    <w:p>
      <w:pPr>
        <w:spacing w:before="0" w:after="60"/>
      </w:pPr>
    </w:p>
    <w:p>
      <w:pPr>
        <w:spacing w:before="0" w:after="80"/>
      </w:pPr>
      <w:r>
        <w:t xml:space="preserve">Vendas positivas nos dois trechos: 0 de 510; vendas robustas: 0.</w:t>
      </w:r>
    </w:p>
    <w:p>
      <w:pPr>
        <w:pStyle w:val="Heading1"/>
        <w:keepNext/>
        <w:spacing w:before="240" w:after="120"/>
      </w:pPr>
      <w:r>
        <w:t xml:space="preserve">8. Conversão de horários (exemplo)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Servidor = UTC+3 durante o horário de verão dos EUA (segunda semana de março a primeira semana de novembro) e UTC+2 no resto do ano. Local = Brasília (UTC-3): servidor -6h no verão dos EUA e -5h no inverno. Londres = servidor -2h o ano todo. NY = servidor -7h. A mudança do servidor para UTC+2 em 2026 é em 01/11/2026.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2771"/>
        <w:gridCol w:w="3695"/>
        <w:gridCol w:w="3695"/>
        <w:gridCol w:w="2771"/>
        <w:gridCol w:w="2772"/>
      </w:tblGrid>
      <w:tr>
        <w:trPr>
          <w:cantSplit/>
          <w:tblHeader/>
        </w:trPr>
        <w:tc>
          <w:tcPr>
            <w:tcW w:w="27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Servidor</w:t>
            </w:r>
          </w:p>
        </w:tc>
        <w:tc>
          <w:tcPr>
            <w:tcW w:w="36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Brasília (servidor UTC+3, mar-nov)</w:t>
            </w:r>
          </w:p>
        </w:tc>
        <w:tc>
          <w:tcPr>
            <w:tcW w:w="369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Brasília (servidor UTC+2, nov-mar)</w:t>
            </w:r>
          </w:p>
        </w:tc>
        <w:tc>
          <w:tcPr>
            <w:tcW w:w="2771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Londres</w:t>
            </w:r>
          </w:p>
        </w:tc>
        <w:tc>
          <w:tcPr>
            <w:tcW w:w="277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  <w:szCs w:val="16"/>
              </w:rPr>
              <w:t xml:space="preserve">Nova York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01:00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19:00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20:00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23:00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18:00</w:t>
            </w:r>
          </w:p>
        </w:tc>
      </w:tr>
      <w:tr>
        <w:trPr>
          <w:cantSplit/>
        </w:trPr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06:45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00:45</w:t>
            </w:r>
          </w:p>
        </w:tc>
        <w:tc>
          <w:tcPr>
            <w:tcW w:w="369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01:45</w:t>
            </w:r>
          </w:p>
        </w:tc>
        <w:tc>
          <w:tcPr>
            <w:tcW w:w="2771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04:45</w:t>
            </w:r>
          </w:p>
        </w:tc>
        <w:tc>
          <w:tcPr>
            <w:tcW w:w="277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23:45</w:t>
            </w:r>
          </w:p>
        </w:tc>
      </w:tr>
      <w:tr>
        <w:trPr>
          <w:cantSplit/>
        </w:trPr>
        <w:tc>
          <w:tcPr>
            <w:tcW w:w="2771" w:type="dxa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</w:rPr>
              <w:t xml:space="preserve">23:30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17:30</w:t>
            </w:r>
          </w:p>
        </w:tc>
        <w:tc>
          <w:tcPr>
            <w:tcW w:w="369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18:30</w:t>
            </w:r>
          </w:p>
        </w:tc>
        <w:tc>
          <w:tcPr>
            <w:tcW w:w="2771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21:30</w:t>
            </w:r>
          </w:p>
        </w:tc>
        <w:tc>
          <w:tcPr>
            <w:tcW w:w="277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6"/>
                <w:szCs w:val="16"/>
              </w:rPr>
              <w:t xml:space="preserve">16:30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Referências: 15:30 do servidor = 08:30 em Nova York (dados dos EUA); 17:30 = 10:30 em Nova York (estoques de petróleo, quartas); 17:00 do servidor = 10:00 em Nova York; 18:00 do servidor = 16:00 em Londres (fixing de metais da tarde, 15:00 em Londres = 17:00 do servidor).</w:t>
      </w:r>
    </w:p>
    <w:p>
      <w:pPr>
        <w:pStyle w:val="Heading1"/>
        <w:keepNext/>
        <w:spacing w:before="240" w:after="120"/>
      </w:pPr>
      <w:r>
        <w:t xml:space="preserve">9. Limites e avisos</w:t>
      </w:r>
    </w:p>
    <w:p>
      <w:pPr>
        <w:spacing w:before="0" w:after="40"/>
      </w:pPr>
      <w:r>
        <w:t xml:space="preserve">•  Resultado retrospectivo, sem comissão, slippage e swap. O spread de 23 pts foi medido nos ticks recentes (só cerca de 2 semanas de ticks brutos disponíveis); no histórico o spread real pode ter sido maior.</w:t>
      </w:r>
    </w:p>
    <w:p>
      <w:pPr>
        <w:spacing w:before="0" w:after="40"/>
      </w:pPr>
      <w:r>
        <w:t xml:space="preserve">•  Entrada na abertura da vela M15; a execução real dentro da vela pode diferir. A saída por alvo assume execução no preço do alvo.</w:t>
      </w:r>
    </w:p>
    <w:p>
      <w:pPr>
        <w:spacing w:before="0" w:after="40"/>
      </w:pPr>
      <w:r>
        <w:t xml:space="preserve">•  Foram testadas 1020 combinações. O placebo e o filtro Wilson reduzem o risco de achados ao acaso, mas não o eliminam.</w:t>
      </w:r>
    </w:p>
    <w:p>
      <w:pPr>
        <w:spacing w:before="0" w:after="40"/>
      </w:pPr>
      <w:r>
        <w:t xml:space="preserve">•  Sem stop: os dias sem alvo perdem várias vezes o valor do alvo. A espera depois das 23:30 não foi analisada.</w:t>
      </w:r>
    </w:p>
    <w:p>
      <w:pPr>
        <w:spacing w:before="0" w:after="40"/>
      </w:pPr>
      <w:r>
        <w:t xml:space="preserve">•  Os dados completos (1020 linhas) estão em docs/relatorios/mba/scan_all/XAGUSD_todos.csv.</w:t>
      </w:r>
    </w:p>
    <w:p>
      <w:r>
        <w:br w:type="page"/>
      </w:r>
    </w:p>
    <w:p>
      <w:pPr>
        <w:pStyle w:val="Heading1"/>
        <w:keepNext/>
        <w:spacing w:before="240" w:after="120"/>
      </w:pPr>
      <w:r>
        <w:t xml:space="preserve">Anexo — todas as combinações</w:t>
      </w:r>
    </w:p>
    <w:p>
      <w:pPr>
        <w:spacing w:before="0" w:after="100"/>
      </w:pPr>
      <w:r>
        <w:rPr>
          <w:i/>
          <w:color w:val="595959"/>
          <w:sz w:val="16"/>
          <w:szCs w:val="16"/>
        </w:rPr>
        <w:t xml:space="preserve">Ordenadas por horário, lado e alvo.</w:t>
      </w:r>
    </w:p>
    <w:p>
      <w:pPr>
        <w:pStyle w:val="Heading2"/>
        <w:keepNext/>
        <w:spacing w:before="200" w:after="80"/>
      </w:pPr>
      <w:r>
        <w:t xml:space="preserve">COMPRA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-7.636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-10.760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-10.760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-17.024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-8.838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-8.838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-33.708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-33.708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-33.708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-33.708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-33.185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-8.940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-32.697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-32.135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-15.064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-6.997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-9.052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-9.052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-9.052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-9.052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-31.052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-31.052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-31.052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-31.052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-31.052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-31.052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-10.948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-7.950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-7.597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-8.925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-8.925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-8.925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-8.925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-8.877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-8.877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-27.285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-7.118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-27.375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-27.375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-27.375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248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-27.375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-8.904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-8.904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-8.904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-26.252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-26.252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-26.252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-26.252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-26.252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-26.252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-8.416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-8.429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-24.510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-23.858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-23.858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-23.858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-23.858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-23.858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-22.524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-22.524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-22.524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-22.524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-22.524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-22.524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-21.833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-21.833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-21.833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-21.833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-21.833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-8.782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-8.527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-5.154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-8.228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-8.341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-19.039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-17.590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-17.590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-16.473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-7.862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-8.148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-2.303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-7.763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-14.956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-13.726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-12.698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-9.725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-1.061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-9.360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-9.360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-9.360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-6.353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-6.353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-6.353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-6.353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-6.353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-1.281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-9.947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-2.044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-1.175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COMPRA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00" w:after="80"/>
      </w:pPr>
      <w:r>
        <w:t xml:space="preserve">VENDA</w:t>
      </w:r>
    </w:p>
    <w:tbl>
      <w:tblPr>
        <w:tblW w:w="15704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D9D9D9"/>
          <w:insideV w:val="single" w:sz="4" w:space="0" w:color="D9D9D9"/>
        </w:tblBorders>
        <w:tblCellMar>
          <w:left w:w="50" w:type="dxa"/>
          <w:right w:w="50" w:type="dxa"/>
        </w:tblCellMar>
      </w:tblPr>
      <w:tblGrid>
        <w:gridCol w:w="862"/>
        <w:gridCol w:w="862"/>
        <w:gridCol w:w="690"/>
        <w:gridCol w:w="690"/>
        <w:gridCol w:w="862"/>
        <w:gridCol w:w="862"/>
        <w:gridCol w:w="862"/>
        <w:gridCol w:w="862"/>
        <w:gridCol w:w="862"/>
        <w:gridCol w:w="862"/>
        <w:gridCol w:w="862"/>
        <w:gridCol w:w="862"/>
        <w:gridCol w:w="1035"/>
        <w:gridCol w:w="1035"/>
        <w:gridCol w:w="862"/>
        <w:gridCol w:w="862"/>
        <w:gridCol w:w="862"/>
        <w:gridCol w:w="1048"/>
      </w:tblGrid>
      <w:tr>
        <w:trPr>
          <w:cantSplit/>
          <w:tblHeader/>
        </w:trPr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Servidor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Lado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Alvo (pts)</w:t>
            </w:r>
          </w:p>
        </w:tc>
        <w:tc>
          <w:tcPr>
            <w:tcW w:w="690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alvo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Wilson 95%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Média/dia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desc.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Méd. valid.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Dias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Perda média s/ alvo</w:t>
            </w:r>
          </w:p>
        </w:tc>
        <w:tc>
          <w:tcPr>
            <w:tcW w:w="1035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Pior dia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MAE médio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% p/ empatar</w:t>
            </w:r>
          </w:p>
        </w:tc>
        <w:tc>
          <w:tcPr>
            <w:tcW w:w="862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Min. mediana</w:t>
            </w:r>
          </w:p>
        </w:tc>
        <w:tc>
          <w:tcPr>
            <w:tcW w:w="1048" w:type="dxa"/>
            <w:shd w:val="clear" w:color="auto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11"/>
                <w:szCs w:val="11"/>
              </w:rPr>
              <w:t xml:space="preserve">Anos 24/25/26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-5.358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-6.323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-6.546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-6.307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-6.307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-6.307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-6.307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-9.466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-9.466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-9.466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-9.466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-8.089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-5.015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-7.411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-6.420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-682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-6.085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-3.040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-5.674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-3.682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-6.126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09:45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-5.677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-5.285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292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-4.481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-2.188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-4.608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-5.898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-5.898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12:45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-5.767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13:45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-650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-532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-4.249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14:45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-+-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-4.841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-579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-4.906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-3.255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-4.117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15:45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-4.736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-4.364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-3.986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-5.667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-3.850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-2.702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+--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16:45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-4.095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-1.890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-6.758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17:45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-8.661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-7.074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-2.580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-3.388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-1.606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-2.986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-2.986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-3.421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18:45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91,6%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-1.497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-3.373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-2.476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-2.476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-1.375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-3.580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-2.892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-3.546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19:45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-3.546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76,4%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-2.664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-2.664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-3.551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89,1%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-3.603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-6.220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77,4%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-156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-5.540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-1.776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-5.408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-5.408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20:45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-5.980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83,2%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289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-1.936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-1.936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-2.261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31,0%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595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-4.565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37,0%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70,0%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-2.221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-4.473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21:15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-4.473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81,8%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-131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-2.727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40,0%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72,3%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411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29,2%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462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-110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42,3%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-102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169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553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-4.557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22,4%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9,6%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604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-4.557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52,1%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34,8%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36,8%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69,7%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433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-1.503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27,2%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8,0%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64,2%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476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-73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-1.503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127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32,7%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24,8%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54,0%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-88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17,1%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39,8%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568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-3.790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21:45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8,2%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615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-69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-3.790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168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44,6%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74,5%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-22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354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-109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-1.684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128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30,4%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12,7%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65,7%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-40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453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-97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136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49,2%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26,3%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23,1%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57,7%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-29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505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-92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38,1%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21,2%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18,3%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48,5%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-26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540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-86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30,2%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300</w:t>
            </w:r>
          </w:p>
        </w:tc>
        <w:tc>
          <w:tcPr>
            <w:tcW w:w="6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14,3%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11,9%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1,5%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33,6%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-23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-21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587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-77</w:t>
            </w:r>
          </w:p>
        </w:tc>
        <w:tc>
          <w:tcPr>
            <w:tcW w:w="1035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-3.125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155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20,4%</w:t>
            </w:r>
          </w:p>
        </w:tc>
        <w:tc>
          <w:tcPr>
            <w:tcW w:w="86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---</w:t>
            </w:r>
          </w:p>
        </w:tc>
      </w:tr>
      <w:tr>
        <w:trPr>
          <w:cantSplit/>
        </w:trPr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22:00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sz w:val="11"/>
                <w:szCs w:val="11"/>
              </w:rPr>
              <w:t xml:space="preserve">VENDA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500</w:t>
            </w:r>
          </w:p>
        </w:tc>
        <w:tc>
          <w:tcPr>
            <w:tcW w:w="690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685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7,9%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6,1%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0,7%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18,6%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-17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-24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-7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631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-61</w:t>
            </w:r>
          </w:p>
        </w:tc>
        <w:tc>
          <w:tcPr>
            <w:tcW w:w="1035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-3.125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158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10,9%</w:t>
            </w:r>
          </w:p>
        </w:tc>
        <w:tc>
          <w:tcPr>
            <w:tcW w:w="862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30</w:t>
            </w:r>
          </w:p>
        </w:tc>
        <w:tc>
          <w:tcPr>
            <w:tcW w:w="1048" w:type="dxa"/>
            <w:shd w:val="clear" w:color="auto" w:fill="F2F2F2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1"/>
                <w:szCs w:val="11"/>
              </w:rPr>
              <w:t xml:space="preserve">--+</w:t>
            </w:r>
          </w:p>
        </w:tc>
      </w:tr>
    </w:tbl>
    <w:p>
      <w:pPr>
        <w:spacing w:before="0" w:after="60"/>
      </w:pPr>
    </w:p>
    <w:sectPr>
      <w:footerReference w:type="default" r:id="rId3"/>
      <w:pgSz w:w="16838" w:h="11906" w:orient="landscape"/>
      <w:pgMar w:top="567" w:right="567" w:bottom="767" w:left="567" w:header="300" w:footer="3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6"/>
      </w:rPr>
      <w:t xml:space="preserve">tabela de padrões · página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19"/>
        <w:szCs w:val="19"/>
        <w:lang w:val="pt-BR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color w:val="404040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Tabela completa</dc:title>
  <dc:creator>MarketBehaviorAnalyzer</dc:creator>
  <dcterms:created xsi:type="dcterms:W3CDTF">2026-10-18T12:00:00Z</dcterms:created>
</cp:coreProperties>
</file>