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XBRUSD (Brent) — combinações com alvo atingido em 80% ou mais dos dias</w:t>
      </w:r>
    </w:p>
    <w:p>
      <w:pPr>
        <w:spacing w:before="0" w:after="120"/>
      </w:pPr>
      <w:r>
        <w:t xml:space="preserve">Filtro sobre a varredura completa · Raw Trading (IC Markets) · M15 · 23/01/2024 a 16/10/2026 (687 dias úteis) · horários do servidor · alvo ou 23:30, sem stop</w:t>
      </w:r>
    </w:p>
    <w:p>
      <w:pPr>
        <w:pStyle w:val="Heading1"/>
        <w:keepNext/>
        <w:spacing w:before="240" w:after="120"/>
      </w:pPr>
      <w:r>
        <w:t xml:space="preserve">1. Como o filtro foi feito</w:t>
      </w:r>
    </w:p>
    <w:p>
      <w:pPr>
        <w:spacing w:before="0" w:after="40"/>
      </w:pPr>
      <w:r>
        <w:t xml:space="preserve">•  Partimos das 924 combinações horário x lado x alvo da varredura completa do XBRUSD e ficamos com as que atingiram o alvo em 80% ou mais dos dias (coluna % alvo). Deram 386 combinações, todas com alvos de 100 a 300 pts (os alvos de 400 e 500 pts nunca chegam a 80%).</w:t>
      </w:r>
    </w:p>
    <w:p>
      <w:pPr>
        <w:spacing w:before="0" w:after="40"/>
      </w:pPr>
      <w:r>
        <w:t xml:space="preserve">•  Dessas 386, só 76 têm média por dia positiva no período todo, 22 são positivas na descoberta (primeiros 60% dos dias) E na validação (últimos 40%), 6 também são positivas em cada um dos 3 anos, e 2 são robustas (o limite inferior Wilson 95% da taxa de acerto é maior que o % necessário para empatar).</w:t>
      </w:r>
    </w:p>
    <w:p>
      <w:pPr>
        <w:spacing w:before="0" w:after="40"/>
      </w:pPr>
      <w:r>
        <w:t xml:space="preserve">•  A lista principal (seção 2) mostra as 22 positivas nos dois trechos. Combinações com 80%+ de acerto mas média negativa ficam de fora porque acertar muito não compensa a perda dos dias sem alvo (sem stop, essa perda é de -500 a -1.400 pts por dia).</w:t>
      </w:r>
    </w:p>
    <w:p>
      <w:pPr>
        <w:spacing w:before="0" w:after="40"/>
      </w:pPr>
      <w:r>
        <w:t xml:space="preserve">•  Custo: spread de 10 pts medido nos ticks (a compra paga na entrada; a venda, no fechamento). Comissão, slippage e swap NÃO incluídos. 1 pt = 0,001 de preço = US$ 0,10 por lote.</w:t>
      </w:r>
    </w:p>
    <w:p>
      <w:pPr>
        <w:spacing w:before="0" w:after="40"/>
      </w:pPr>
      <w:r>
        <w:t xml:space="preserve">•  % alvo = % dos dias em que o alvo foi atingido até as 23:30. Wilson 95% = limite inferior estatístico dessa taxa. Perda média s/ alvo = resultado médio dos dias em que o alvo não foi atingido (fechamento às 23:30). % p/ empatar = taxa de acerto necessária para a média zerar.</w:t>
      </w:r>
    </w:p>
    <w:p>
      <w:pPr>
        <w:pStyle w:val="Heading1"/>
        <w:keepNext/>
        <w:spacing w:before="240" w:after="120"/>
      </w:pPr>
      <w:r>
        <w:t xml:space="preserve">2. As 22 combinações com 80%+ de acerto e média positiva nos dois trechos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Ordenadas por média/dia. Marcadas na coluna 'Anos' com +++ as positivas em todos os anos. As 6 que passam também no filtro dos 3 anos estão na seção 3.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3. As mais sólidas: 80%+ de acerto e positivas em todos os anos (6)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t xml:space="preserve">Entre estas, só 2 são robustas no teste mais duro (Wilson 95% &gt; % necessário para empatar): 12:00 compra alvo 300; 18:00 compra alvo 100.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margem entre Wilson 95% e % p/ empatar é de 0,3 a 0,4 ponto percentual nessas duas, quase nada. As outras quatro têm Wilson abaixo do % necessário, ou seja, no cenário pessimista elas não pagam a perda dos dias sem alvo.</w:t>
      </w:r>
    </w:p>
    <w:p>
      <w:pPr>
        <w:pStyle w:val="Heading1"/>
        <w:keepNext/>
        <w:spacing w:before="240" w:after="120"/>
      </w:pPr>
      <w:r>
        <w:t xml:space="preserve">4. Quanto cada uma das 6 perde nos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617"/>
        <w:gridCol w:w="1570"/>
        <w:gridCol w:w="1570"/>
        <w:gridCol w:w="1570"/>
        <w:gridCol w:w="1570"/>
        <w:gridCol w:w="1570"/>
        <w:gridCol w:w="2093"/>
        <w:gridCol w:w="1570"/>
        <w:gridCol w:w="1574"/>
      </w:tblGrid>
      <w:tr>
        <w:trPr>
          <w:cantSplit/>
          <w:tblHeader/>
        </w:trPr>
        <w:tc>
          <w:tcPr>
            <w:tcW w:w="261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57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</w:t>
            </w:r>
          </w:p>
        </w:tc>
        <w:tc>
          <w:tcPr>
            <w:tcW w:w="157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Perda média</w:t>
            </w:r>
          </w:p>
        </w:tc>
        <w:tc>
          <w:tcPr>
            <w:tcW w:w="157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Mediana</w:t>
            </w:r>
          </w:p>
        </w:tc>
        <w:tc>
          <w:tcPr>
            <w:tcW w:w="157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10%</w:t>
            </w:r>
          </w:p>
        </w:tc>
        <w:tc>
          <w:tcPr>
            <w:tcW w:w="157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dia</w:t>
            </w:r>
          </w:p>
        </w:tc>
        <w:tc>
          <w:tcPr>
            <w:tcW w:w="20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 que fecharam no lucro</w:t>
            </w:r>
          </w:p>
        </w:tc>
        <w:tc>
          <w:tcPr>
            <w:tcW w:w="157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Ganho no acerto (pts)</w:t>
            </w:r>
          </w:p>
        </w:tc>
        <w:tc>
          <w:tcPr>
            <w:tcW w:w="157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Acertos para pagar 1 falha</w:t>
            </w:r>
          </w:p>
        </w:tc>
      </w:tr>
      <w:tr>
        <w:trPr>
          <w:cantSplit/>
        </w:trPr>
        <w:tc>
          <w:tcPr>
            <w:tcW w:w="2617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12:00 compra · 300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133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-1.018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-730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-2.144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-7.250</w:t>
            </w:r>
          </w:p>
        </w:tc>
        <w:tc>
          <w:tcPr>
            <w:tcW w:w="20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5%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157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3,4</w:t>
            </w:r>
          </w:p>
        </w:tc>
      </w:tr>
      <w:tr>
        <w:trPr>
          <w:cantSplit/>
        </w:trPr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14:00 compra · 100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-982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-825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-1.941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-2.820</w:t>
            </w:r>
          </w:p>
        </w:tc>
        <w:tc>
          <w:tcPr>
            <w:tcW w:w="20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57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9,8</w:t>
            </w:r>
          </w:p>
        </w:tc>
      </w:tr>
      <w:tr>
        <w:trPr>
          <w:cantSplit/>
        </w:trPr>
        <w:tc>
          <w:tcPr>
            <w:tcW w:w="2617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18:00 compra · 100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77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-612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-440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-1.136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-4.400</w:t>
            </w:r>
          </w:p>
        </w:tc>
        <w:tc>
          <w:tcPr>
            <w:tcW w:w="20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3%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57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6,1</w:t>
            </w:r>
          </w:p>
        </w:tc>
      </w:tr>
      <w:tr>
        <w:trPr>
          <w:cantSplit/>
        </w:trPr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16:30 venda · 100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60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-871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-730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-1.704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-3.030</w:t>
            </w:r>
          </w:p>
        </w:tc>
        <w:tc>
          <w:tcPr>
            <w:tcW w:w="20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57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8,7</w:t>
            </w:r>
          </w:p>
        </w:tc>
      </w:tr>
      <w:tr>
        <w:trPr>
          <w:cantSplit/>
        </w:trPr>
        <w:tc>
          <w:tcPr>
            <w:tcW w:w="2617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16:15 venda · 100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64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-839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-675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-1.394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-3.110</w:t>
            </w:r>
          </w:p>
        </w:tc>
        <w:tc>
          <w:tcPr>
            <w:tcW w:w="20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157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57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8,4</w:t>
            </w:r>
          </w:p>
        </w:tc>
      </w:tr>
      <w:tr>
        <w:trPr>
          <w:cantSplit/>
        </w:trPr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15:00 compra · 100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54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-1.063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-935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-1.838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-3.560</w:t>
            </w:r>
          </w:p>
        </w:tc>
        <w:tc>
          <w:tcPr>
            <w:tcW w:w="20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157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57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10,6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'Acertos para pagar 1 falha' = quantos acertos do alvo cobrem a perda média de um dia sem alvo. Com 85 a 93% de acerto, a conta fecha com folga pequena: é o motivo de a média por dia ficar entre +8 e +45 pts.</w:t>
      </w:r>
    </w:p>
    <w:p>
      <w:pPr>
        <w:pStyle w:val="Heading3"/>
        <w:keepNext/>
        <w:spacing w:before="140" w:after="60"/>
      </w:pPr>
      <w:r>
        <w:t xml:space="preserve">12:00 compra · alvo 300 · 133 dias sem alvo</w:t>
      </w:r>
    </w:p>
    <w:p>
      <w:pPr>
        <w:spacing w:before="0" w:after="60"/>
      </w:pPr>
      <w:r>
        <w:rPr>
          <w:sz w:val="15"/>
          <w:szCs w:val="15"/>
        </w:rPr>
        <w:t xml:space="preserve">02/02/24 (-1.890); 08/03/24 (-1.340); 20/03/24 (-680); 21/03/24 (-350); 09/04/24 (-1.330); 11/04/24 (-660); 17/04/24 (-2.120); 30/04/24 (-1.470); 02/05/24 (-560); 06/05/24 (-280); 09/05/24 (-20); 15/05/24 (+70); 21/05/24 (-330); 29/05/24 (-1.400); 30/05/24 (-1.410); 03/06/24 (-3.120); 12/07/24 (-1.190); 15/07/24 (-340); 16/07/24 (-370); 19/07/24 (-2.580); 22/07/24 (-380); 26/07/24 (-1.350); 30/07/24 (-500); 02/08/24 (-2.620); 14/08/24 (-1.450); 16/08/24 (-580); 27/08/24 (-1.170); 30/08/24 (-2.070); 03/09/24 (-3.130); 20/09/24 (-30); 25/09/24 (-1.540); 28/10/24 (-570); 11/11/24 (-1.220); 13/11/24 (-490); 27/11/24 (-240); 02/12/24 (-680); 04/12/24 (-1.690); 05/12/24 (-390); 06/12/24 (-760); 12/12/24 (-380); 17/12/24 (-290); 23/12/24 (+110); 26/12/24 (-760); 08/01/25 (-1.550); 14/01/25 (-980); 16/01/25 (-670); 17/01/25 (-560); 21/01/25 (+110); 22/01/25 (-590); 05/02/25 (-1.010); 07/02/25 (-320); 12/02/25 (-1.120); 21/02/25 (-1.840); 25/02/25 (-1.490); 26/02/25 (-300); 05/03/25 (-1.120); 13/03/25 (-1.130); 14/03/25 (-190); 21/03/25 (+100); 25/03/25 (-150); 28/03/25 (-690); 03/04/25 (-2.500); 15/04/25 (-120); 21/04/25 (-60); 23/04/25 (-2.320); 28/04/25 (-1.070); 07/05/25 (-1.780); 14/05/25 (-470); 21/05/25 (-1.400); 27/05/25 (-470); 29/05/25 (-1.630); 27/06/25 (-860); 30/06/25 (-260); 09/07/25 (-600); 25/07/25 (-1.080); 31/07/25 (-540); 05/08/25 (-780); 26/08/25 (-730); 02/09/25 (-190); 03/09/25 (-1.420); 04/09/25 (-140); 05/09/25 (-1.290); 11/09/25 (-980); 22/09/25 (-130); 29/09/25 (-1.810); 30/09/25 (-400); 01/10/25 (-440); 02/10/25 (-1.060); 03/10/25 (-510); 06/10/25 (-40); 09/10/25 (-1.310); 10/10/25 (-2.210); 13/10/25 (-440); 16/10/25 (-1.210); 20/10/25 (-140); 05/11/25 (-1.230); 06/11/25 (-520); 07/11/25 (-510); 10/11/25 (-170); 12/11/25 (-1.910); 19/11/25 (-920); 25/11/25 (-590); 01/12/25 (-320); 02/12/25 (-560); 03/12/25 (-430); 08/12/25 (-820); 11/12/25 (+130); 12/12/25 (-100); 15/12/25 (-930); 16/12/25 (-810); 29/12/25 (-240); 30/12/25 (-480); 22/01/26 (-540); 12/02/26 (-1.580); 13/02/26 (-160); 04/03/26 (-1.510); 17/03/26 (-700); 10/04/26 (-3.620); 13/04/26 (-4.710); 29/05/26 (-760); 04/06/26 (-1.320); 08/06/26 (-3.210); 22/06/26 (-1.170); 24/06/26 (-2.670); 30/07/26 (-950); 04/08/26 (-7.250); 11/08/26 (-840); 12/08/26 (-710); 25/08/26 (-3.110); 28/08/26 (-180); 31/08/26 (-610); 08/09/26 (+160); 29/09/26 (-2.150)</w:t>
      </w:r>
    </w:p>
    <w:p>
      <w:pPr>
        <w:pStyle w:val="Heading3"/>
        <w:keepNext/>
        <w:spacing w:before="140" w:after="60"/>
      </w:pPr>
      <w:r>
        <w:t xml:space="preserve">14:00 compra · alvo 100 · 50 dias sem alvo</w:t>
      </w:r>
    </w:p>
    <w:p>
      <w:pPr>
        <w:spacing w:before="0" w:after="60"/>
      </w:pPr>
      <w:r>
        <w:rPr>
          <w:sz w:val="15"/>
          <w:szCs w:val="15"/>
        </w:rPr>
        <w:t xml:space="preserve">29/01/24 (-1.010); 12/03/24 (-690); 06/05/24 (-330); 09/05/24 (-130); 10/05/24 (-1.660); 14/05/24 (-770); 29/05/24 (-1.360); 23/07/24 (-880); 30/07/24 (-520); 01/08/24 (-1.540); 27/08/24 (-1.170); 30/08/24 (-2.130); 04/09/24 (-2.270); 24/10/24 (-950); 04/11/24 (-10); 11/11/24 (-910); 21/11/24 (-50); 25/11/24 (-2.040); 14/01/25 (-750); 17/01/25 (-360); 12/02/25 (-1.240); 25/02/25 (-1.340); 18/03/25 (-1.480); 03/04/25 (-1.780); 23/04/25 (-1.930); 01/07/25 (-10); 12/08/25 (-570); 02/09/25 (-340); 11/09/25 (-770); 30/09/25 (-410); 01/10/25 (-490); 07/11/25 (-180); 12/11/25 (-1.790); 19/11/25 (-120); 25/11/25 (-550); 09/12/25 (-680); 26/12/25 (-1.350); 30/12/25 (-520); 15/01/26 (-690); 26/01/26 (-410); 10/02/26 (-420); 17/02/26 (-1.440); 24/04/26 (-60); 04/06/26 (-1.170); 16/06/26 (-1.660); 22/06/26 (-1.310); 24/06/26 (-2.420); 09/07/26 (-2.820); 28/08/26 (-110); 03/09/26 (-1.530)</w:t>
      </w:r>
    </w:p>
    <w:p>
      <w:pPr>
        <w:pStyle w:val="Heading3"/>
        <w:keepNext/>
        <w:spacing w:before="140" w:after="60"/>
      </w:pPr>
      <w:r>
        <w:t xml:space="preserve">18:00 compra · alvo 100 · 77 dias sem alvo</w:t>
      </w:r>
    </w:p>
    <w:p>
      <w:pPr>
        <w:spacing w:before="0" w:after="60"/>
      </w:pPr>
      <w:r>
        <w:rPr>
          <w:sz w:val="15"/>
          <w:szCs w:val="15"/>
        </w:rPr>
        <w:t xml:space="preserve">31/01/24 (-1.300); 14/02/24 (-1.330); 19/02/24 (-220); 23/02/24 (-710); 28/02/24 (-700); 08/03/24 (-680); 25/03/24 (-180); 17/04/24 (-1.780); 01/05/24 (-960); 10/05/24 (-1.070); 14/05/24 (-30); 03/06/24 (-520); 07/06/24 (-640); 21/06/24 (-980); 25/06/24 (-950); 06/08/24 (-700); 13/08/24 (-460); 13/09/24 (-790); 23/09/24 (-470); 24/09/24 (-120); 11/10/24 (-310); 28/10/24 (-280); 29/10/24 (-220); 20/11/24 (-400); 26/11/24 (-910); 02/12/24 (-380); 04/12/24 (-1.190); 05/12/24 (-400); 16/12/24 (-370); 26/12/24 (-430); 08/01/25 (-600); 27/01/25 (-440); 29/01/25 (-480); 05/02/25 (-330); 14/02/25 (-330); 07/03/25 (-430); 13/03/25 (-630); 18/03/25 (-810); 21/03/25 (-0); 25/03/25 (+30); 14/04/25 (-40); 28/04/25 (-220); 14/05/25 (-510); 29/05/25 (-200); 05/06/25 (-430); 10/07/25 (-220); 18/07/25 (-1.120); 25/07/25 (-490); 22/08/25 (-0); 26/08/25 (-540); 15/09/25 (-130); 17/09/25 (-360); 19/09/25 (-340); 26/09/25 (-960); 29/09/25 (-500); 02/10/25 (-180); 10/10/25 (-1.160); 13/10/25 (-300); 05/11/25 (-1.090); 20/11/25 (-1.100); 01/12/25 (-30); 02/12/25 (-630); 03/12/25 (-440); 05/12/25 (-120); 08/12/25 (-470); 15/12/25 (-210); 26/12/25 (-430); 29/12/25 (-410); 30/12/25 (-360); 05/01/26 (+10); 12/02/26 (-740); 31/03/26 (-4.400); 04/06/26 (-140); 30/06/26 (-540); 10/07/26 (-410); 28/07/26 (-2.060); 14/09/26 (-2.330)</w:t>
      </w:r>
    </w:p>
    <w:p>
      <w:pPr>
        <w:pStyle w:val="Heading3"/>
        <w:keepNext/>
        <w:spacing w:before="140" w:after="60"/>
      </w:pPr>
      <w:r>
        <w:t xml:space="preserve">16:30 venda · alvo 100 · 60 dias sem alvo</w:t>
      </w:r>
    </w:p>
    <w:p>
      <w:pPr>
        <w:spacing w:before="0" w:after="60"/>
      </w:pPr>
      <w:r>
        <w:rPr>
          <w:sz w:val="15"/>
          <w:szCs w:val="15"/>
        </w:rPr>
        <w:t xml:space="preserve">08/02/24 (-1.320); 12/02/24 (-410); 15/02/24 (-1.110); 21/02/24 (-870); 22/02/24 (-740); 27/02/24 (-470); 19/03/24 (-250); 25/03/24 (-690); 24/05/24 (-550); 24/06/24 (-1.060); 16/07/24 (-250); 17/07/24 (-410); 06/08/24 (-690); 15/08/24 (-300); 17/09/24 (-910); 01/10/24 (-3.030); 07/10/24 (-1.960); 06/11/24 (-1.030); 18/11/24 (-1.160); 13/12/24 (-510); 02/01/25 (-10); 09/01/25 (-600); 15/01/25 (-1.830); 04/02/25 (-1.690); 13/02/25 (-720); 16/04/25 (-650); 25/04/25 (-840); 08/05/25 (-1.240); 09/05/25 (-640); 13/05/25 (-1.040); 23/05/25 (-1.000); 06/06/25 (-860); 08/07/25 (-750); 11/07/25 (-980); 25/08/25 (-400); 27/08/25 (-340); 11/09/25 (+10); 22/09/25 (-600); 23/09/25 (-530); 06/10/25 (-470); 20/10/25 (-560); 29/10/25 (-200); 11/11/25 (-390); 26/11/25 (-870); 01/12/25 (-330); 05/12/25 (-550); 09/01/26 (-70); 19/01/26 (-300); 06/02/26 (-680); 09/02/26 (-1.210); 18/02/26 (-940); 16/04/26 (-1.870); 22/04/26 (-1.430); 15/05/26 (-1.340); 29/07/26 (-1.590); 07/08/26 (-220); 10/08/26 (-2.550); 26/08/26 (-740); 01/10/26 (-2.450); 09/10/26 (-1.050)</w:t>
      </w:r>
    </w:p>
    <w:p>
      <w:pPr>
        <w:pStyle w:val="Heading3"/>
        <w:keepNext/>
        <w:spacing w:before="140" w:after="60"/>
      </w:pPr>
      <w:r>
        <w:t xml:space="preserve">16:15 venda · alvo 100 · 64 dias sem alvo</w:t>
      </w:r>
    </w:p>
    <w:p>
      <w:pPr>
        <w:spacing w:before="0" w:after="60"/>
      </w:pPr>
      <w:r>
        <w:rPr>
          <w:sz w:val="15"/>
          <w:szCs w:val="15"/>
        </w:rPr>
        <w:t xml:space="preserve">23/01/24 (-750); 30/01/24 (-960); 08/02/24 (-1.380); 21/02/24 (-980); 22/02/24 (-1.120); 01/03/24 (-360); 12/03/24 (-370); 19/03/24 (-360); 28/05/24 (-1.250); 04/06/24 (-750); 06/06/24 (-1.240); 17/06/24 (-1.310); 17/07/24 (-650); 29/08/24 (-790); 10/10/24 (-1.530); 22/10/24 (-1.030); 28/10/24 (-580); 06/11/24 (-1.320); 18/11/24 (-1.360); 13/12/24 (-600); 02/01/25 (-20); 03/01/25 (-470); 09/01/25 (-630); 13/01/25 (-450); 21/01/25 (-520); 30/01/25 (-380); 13/02/25 (-890); 24/02/25 (-250); 24/03/25 (-850); 16/04/25 (-670); 25/04/25 (-920); 06/05/25 (-30); 23/05/25 (-1.400); 06/06/25 (-920); 08/07/25 (-740); 11/07/25 (-1.080); 04/08/25 (-560); 25/08/25 (-560); 27/08/25 (-330); 04/09/25 (-270); 11/09/25 (-20); 22/09/25 (-620); 23/09/25 (-540); 07/10/25 (-780); 20/10/25 (-710); 29/10/25 (-420); 30/10/25 (-400); 04/11/25 (-100); 01/12/25 (-450); 05/12/25 (-680); 09/01/26 (-240); 19/01/26 (-310); 09/02/26 (-1.410); 16/02/26 (-580); 18/02/26 (-1.110); 06/03/26 (-3.110); 25/03/26 (-3.080); 29/04/26 (-3.110); 26/05/26 (-450); 30/07/26 (-1.020); 19/08/26 (-300); 17/09/26 (-1.720); 09/10/26 (-1.260); 14/10/26 (-620)</w:t>
      </w:r>
    </w:p>
    <w:p>
      <w:pPr>
        <w:pStyle w:val="Heading3"/>
        <w:keepNext/>
        <w:spacing w:before="140" w:after="60"/>
      </w:pPr>
      <w:r>
        <w:t xml:space="preserve">15:00 compra · alvo 100 · 54 dias sem alvo</w:t>
      </w:r>
    </w:p>
    <w:p>
      <w:pPr>
        <w:spacing w:before="0" w:after="60"/>
      </w:pPr>
      <w:r>
        <w:rPr>
          <w:sz w:val="15"/>
          <w:szCs w:val="15"/>
        </w:rPr>
        <w:t xml:space="preserve">29/01/24 (-920); 02/02/24 (-1.390); 20/03/24 (-550); 17/04/24 (-2.020); 29/04/24 (-840); 06/05/24 (-410); 10/05/24 (-1.540); 14/05/24 (-640); 29/05/24 (-1.310); 07/06/24 (-950); 14/06/24 (-780); 23/07/24 (-780); 26/07/24 (-1.000); 02/08/24 (-1.690); 27/08/24 (-1.180); 04/09/24 (-1.810); 20/11/24 (-730); 25/11/24 (-2.030); 12/02/25 (-1.260); 17/03/25 (-470); 18/03/25 (-1.510); 25/03/25 (-390); 03/04/25 (-980); 07/05/25 (-1.740); 09/05/25 (-250); 29/05/25 (-1.110); 30/05/25 (-560); 05/08/25 (-570); 15/08/25 (-460); 02/09/25 (-170); 05/09/25 (-790); 08/09/25 (-750); 11/09/25 (-600); 01/10/25 (-370); 10/10/25 (-1.700); 16/10/25 (-1.150); 06/11/25 (-510); 12/11/25 (-1.850); 21/11/25 (-500); 09/12/25 (-550); 11/12/25 (+30); 16/12/25 (-840); 26/12/25 (-1.270); 30/12/25 (-450); 17/02/26 (-1.210); 25/02/26 (-490); 14/04/26 (-3.560); 28/04/26 (-1.390); 28/05/26 (-2.080); 16/06/26 (-1.460); 23/06/26 (-730); 01/07/26 (-1.070); 28/07/26 (-2.600); 03/09/26 (-1.450)</w:t>
      </w:r>
    </w:p>
    <w:p>
      <w:pPr>
        <w:pStyle w:val="Heading1"/>
        <w:keepNext/>
        <w:spacing w:before="240" w:after="120"/>
      </w:pPr>
      <w:r>
        <w:t xml:space="preserve">5. Estabilidade das 6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32"/>
        <w:gridCol w:w="1519"/>
        <w:gridCol w:w="1519"/>
        <w:gridCol w:w="1519"/>
        <w:gridCol w:w="1519"/>
        <w:gridCol w:w="2026"/>
        <w:gridCol w:w="1519"/>
        <w:gridCol w:w="3551"/>
      </w:tblGrid>
      <w:tr>
        <w:trPr>
          <w:cantSplit/>
          <w:tblHeader/>
        </w:trPr>
        <w:tc>
          <w:tcPr>
            <w:tcW w:w="253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2024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2025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2026</w:t>
            </w:r>
          </w:p>
        </w:tc>
        <w:tc>
          <w:tcPr>
            <w:tcW w:w="20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sem os 3 melhores meses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Trimestres positivos</w:t>
            </w:r>
          </w:p>
        </w:tc>
        <w:tc>
          <w:tcPr>
            <w:tcW w:w="35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seg · ter · qua · qui · sex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12:00 compra · 300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61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82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79 27 -2 98 24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14:00 compra · 100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24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51 -13 10 9 51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18:00 compra · 100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43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31 -1 7 60 5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16:30 venda · 100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4 21 12 16 22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16:15 venda · 100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16 29 1 6 10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15:00 compra · 100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56 -39 -4 37 -5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6. Comissão: o que sobra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4618"/>
        <w:gridCol w:w="2771"/>
        <w:gridCol w:w="2771"/>
        <w:gridCol w:w="2771"/>
        <w:gridCol w:w="2773"/>
      </w:tblGrid>
      <w:tr>
        <w:trPr>
          <w:cantSplit/>
          <w:tblHeader/>
        </w:trPr>
        <w:tc>
          <w:tcPr>
            <w:tcW w:w="461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Comissão por operação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Das 22: média &gt; 0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Das 6: média &gt; 0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Melhor média/dia (22)</w:t>
            </w:r>
          </w:p>
        </w:tc>
        <w:tc>
          <w:tcPr>
            <w:tcW w:w="27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Mediana (22)</w:t>
            </w:r>
          </w:p>
        </w:tc>
      </w:tr>
      <w:tr>
        <w:trPr>
          <w:cantSplit/>
        </w:trPr>
        <w:tc>
          <w:tcPr>
            <w:tcW w:w="461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pts (US$ 0,00 por lote)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277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w="461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10 pts (US$ 1,00 por lote)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w="277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461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 pts (US$ 2,00 por lote)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w="277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-8</w:t>
            </w:r>
          </w:p>
        </w:tc>
      </w:tr>
      <w:tr>
        <w:trPr>
          <w:cantSplit/>
        </w:trPr>
        <w:tc>
          <w:tcPr>
            <w:tcW w:w="461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30 pts (US$ 3,00 por lote)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277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-18</w:t>
            </w:r>
          </w:p>
        </w:tc>
      </w:tr>
      <w:tr>
        <w:trPr>
          <w:cantSplit/>
        </w:trPr>
        <w:tc>
          <w:tcPr>
            <w:tcW w:w="461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 pts (US$ 5,00 por lote)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-5</w:t>
            </w:r>
          </w:p>
        </w:tc>
        <w:tc>
          <w:tcPr>
            <w:tcW w:w="277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-38</w:t>
            </w:r>
          </w:p>
        </w:tc>
      </w:tr>
      <w:tr>
        <w:trPr>
          <w:cantSplit/>
        </w:trPr>
        <w:tc>
          <w:tcPr>
            <w:tcW w:w="461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70 pts (US$ 7,00 por lote)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-25</w:t>
            </w:r>
          </w:p>
        </w:tc>
        <w:tc>
          <w:tcPr>
            <w:tcW w:w="277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-58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As médias são de +2 a +45 pts por dia (US$ 0,20 a 4,50 por lote). Uma comissão de 20 a 30 pts por operação elimina a maior parte delas; confira a comissão real da sua conta. Só a combinação 12:00 compra alvo 300 (+45) sobrevive a 30 pts.</w:t>
      </w:r>
    </w:p>
    <w:p>
      <w:pPr>
        <w:pStyle w:val="Heading1"/>
        <w:keepNext/>
        <w:spacing w:before="240" w:after="120"/>
      </w:pPr>
      <w:r>
        <w:t xml:space="preserve">7. Conversão de horários (exemplo)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Servidor = UTC+3 durante o horário de verão dos EUA (segunda semana de março a primeira semana de novembro) e UTC+2 no resto do ano. Local = Brasília (UTC-3): servidor -6h no verão dos EUA e -5h no inverno. Londres = servidor -2h o ano todo. NY = servidor -7h. A mudança do servidor para UTC+2 em 2026 é em 01/11/2026.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3695"/>
        <w:gridCol w:w="3695"/>
        <w:gridCol w:w="2771"/>
        <w:gridCol w:w="2772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Servidor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UTC+3, mar-nov)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UTC+2, nov-mar)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Londres</w:t>
            </w:r>
          </w:p>
        </w:tc>
        <w:tc>
          <w:tcPr>
            <w:tcW w:w="27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Nova York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14:00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15:00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16:15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14:15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09:15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16:30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09:30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18:00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23:30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8. Limites e avisos</w:t>
      </w:r>
    </w:p>
    <w:p>
      <w:pPr>
        <w:spacing w:before="0" w:after="40"/>
      </w:pPr>
      <w:r>
        <w:t xml:space="preserve">•  Resultado retrospectivo (2024 a 2026), sem comissão, slippage e swap. O spread de 10 pts foi medido em só 2 semanas de ticks brutos; no histórico o spread real pode ter sido maior.</w:t>
      </w:r>
    </w:p>
    <w:p>
      <w:pPr>
        <w:spacing w:before="0" w:after="40"/>
      </w:pPr>
      <w:r>
        <w:t xml:space="preserve">•  Foram testadas 924 combinações. No placebo (horários embaralhados dentro do dia) a média de combinações que passam o filtro dos 3 anos é de 35 contra 51 reais, então parte dos achados é acaso. O filtro Wilson reduz isso, mas não elimina.</w:t>
      </w:r>
    </w:p>
    <w:p>
      <w:pPr>
        <w:spacing w:before="0" w:after="40"/>
      </w:pPr>
      <w:r>
        <w:t xml:space="preserve">•  Sem stop: dias sem alvo perdem em média -500 a -1.400 pts e o pior dia das 6 mais sólidas vai de -2.800 a -7.300 pts, vários múltiplos do alvo de 100 a 300 pts.</w:t>
      </w:r>
    </w:p>
    <w:p>
      <w:pPr>
        <w:spacing w:before="0" w:after="40"/>
      </w:pPr>
      <w:r>
        <w:t xml:space="preserve">•  Os 80% de acerto valem para o período todo; na validação (últimos 40% dos dias) alguns subiram e outros caíram, veja % desc. e % valid.</w:t>
      </w:r>
    </w:p>
    <w:p>
      <w:pPr>
        <w:spacing w:before="0" w:after="40"/>
      </w:pPr>
      <w:r>
        <w:t xml:space="preserve">•  Dados completos: docs/relatorios/mba/scan_all/XBRUSD_todos.csv (924 linhas).</w:t>
      </w: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XBRUSD — alvo 80%+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XBRUSD — alvo 80%+</dc:title>
  <dc:creator>MarketBehaviorAnalyzer</dc:creator>
  <dcterms:created xsi:type="dcterms:W3CDTF">2026-10-18T12:00:00Z</dcterms:created>
</cp:coreProperties>
</file>