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Distribuição dos psicólogos nos níveis assistenciais na 11º região de saúde do Ceará</w:t>
      </w:r>
    </w:p>
    <w:bookmarkStart w:id="26" w:name="método"/>
    <w:p>
      <w:pPr>
        <w:pStyle w:val="Heading1"/>
      </w:pPr>
      <w:r>
        <w:t xml:space="preserve">Método</w:t>
      </w:r>
    </w:p>
    <w:bookmarkStart w:id="20" w:name="coleta-e-processamento-de-dados"/>
    <w:p>
      <w:pPr>
        <w:pStyle w:val="Heading2"/>
      </w:pPr>
      <w:r>
        <w:t xml:space="preserve">Coleta e processamento de dados</w:t>
      </w:r>
    </w:p>
    <w:p>
      <w:pPr>
        <w:pStyle w:val="FirstParagraph"/>
      </w:pPr>
      <w:r>
        <w:t xml:space="preserve">A coleta foi referente ao mês de julho de 2025. Os dados foram extraídos da plataforma do Cadastro Nacional de Estabelecimentos de Saúde (CNES) (Ministério da Saúde, 2025). As informações sobre a população residente nos municípios foram retiradas das estimativas realizadas pelo Instituto Brasileiro de Geografia e Estatística (IBGE) (Instituto Brasileiro de Geografia e Estatística [IBGE], 2025).</w:t>
      </w:r>
    </w:p>
    <w:p>
      <w:pPr>
        <w:pStyle w:val="BodyText"/>
      </w:pPr>
      <w:r>
        <w:t xml:space="preserve">O processamento dos dados foi realizado com a linguagem R (versão 4.4.3) através do RStudio (versão 2025.05.1). Para a preparação do banco de dados final, realizou-se incialmente a junção das tabelas com informação sobre vínculos, profissionais e estabelecimentos de saúde. Por fim, agregou-se a elas o banco de dados do IBGE com a população do munícipio por meio do seu respectivo código definido pelo referido instituto. Aplicaram-se filtros para selecionar apenas profissionais de psicologia com base na Classificação Brasileira de Ocupações (CBO) e que atendiam no SUS.</w:t>
      </w:r>
    </w:p>
    <w:p>
      <w:pPr>
        <w:pStyle w:val="BodyText"/>
      </w:pPr>
      <w:r>
        <w:t xml:space="preserve">Os estabelecimentos de saúde foram categorizados em atenção primária, secundária e terciária, sistemas de apoio e sistemas logísticos de acordo com as diretrizes do ministério da saúde (2017). A classificação quanto à atuação de dado psicólogo seguiu a categorização relativa ao estabelecimento. Assim, se ele trabalhar em um dispositivo pertencente à atenção primária, entende-se que o respectivo profissional atua na APS. Ressalta-se que alguns profissionais poderiam estar repetidos no banco de dados, tendo em vista a possibilidade de ele operar em mais de um nível, razão pela qual se procurou medir também o quantitativo desses casos.</w:t>
      </w:r>
    </w:p>
    <w:p>
      <w:pPr>
        <w:pStyle w:val="BodyText"/>
      </w:pPr>
      <w:r>
        <w:t xml:space="preserve">Adicionalmente, utilizou-se o pacote genderBR para a inferência de gênero dos profissionais a partir dos nomes registrados. Para a manipulação e tratamento dos dados, empregaram-se os pacotes tidyverse, arrow e janitor. O código completo e a estrutura de dados detalhada estão disponíveis no repositório do projeto [Link do GitHub].</w:t>
      </w:r>
    </w:p>
    <w:p>
      <w:pPr>
        <w:pStyle w:val="BodyText"/>
      </w:pPr>
      <w:r>
        <w:t xml:space="preserve">Para delimitação do escopo de análise, foi aplicado um recorte territorial focado nos 24 municípios que compõem a 11º região de saúde do Ceará. Também foram filtrados apenas os estabelecimentos classificados nos níveis de atenção primária, secundária e terciária, excluindo os sistemas logísticos e de apoios por não prestarem atendimento assistencial direto em psicologia.</w:t>
      </w:r>
    </w:p>
    <w:p>
      <w:pPr>
        <w:pStyle w:val="BodyText"/>
      </w:pPr>
      <w:r>
        <w:t xml:space="preserve">A fim de analisar a distribuição de psicólogos na referida região, foi adicionada uma coluna que divide a população de cada município pelo número de profissionais cadastrados. Essa variável foi nomeada como</w:t>
      </w:r>
      <w:r>
        <w:t xml:space="preserve"> </w:t>
      </w:r>
      <w:r>
        <w:t xml:space="preserve">“pop_vinculo”</w:t>
      </w:r>
      <w:r>
        <w:t xml:space="preserve">, com a intenção de ser um índice de cobertura assistencial indireto. Esse indicador, apesar de não corresponder diretamente à carga de trabalho real do profissional, permite estimar a razão entre a população potencialmente assistida e profissionais disponíveis.</w:t>
      </w:r>
    </w:p>
    <w:p>
      <w:pPr>
        <w:pStyle w:val="BodyText"/>
      </w:pPr>
      <w:r>
        <w:t xml:space="preserve">Assim, o banco de dados final permitiu visualizar o total de vínculos por nível de atenção para cada município, bem como a sua cobertura assistencial nos três níveis.</w:t>
      </w:r>
    </w:p>
    <w:bookmarkEnd w:id="20"/>
    <w:bookmarkStart w:id="23" w:name="amostra"/>
    <w:p>
      <w:pPr>
        <w:pStyle w:val="Heading2"/>
      </w:pPr>
      <w:r>
        <w:t xml:space="preserve">Amostra</w:t>
      </w:r>
    </w:p>
    <w:bookmarkStart w:id="21" w:name="Xbfbf8251212bf53bf16b5073820e39b7ee5b7bc"/>
    <w:p>
      <w:pPr>
        <w:pStyle w:val="Heading3"/>
      </w:pPr>
      <w:r>
        <w:t xml:space="preserve">Características demográficas e distribuição dos equipamentos</w:t>
      </w:r>
    </w:p>
    <w:p>
      <w:pPr>
        <w:pStyle w:val="FirstParagraph"/>
      </w:pPr>
      <w:r>
        <w:t xml:space="preserve">A 11º região de saúde do Ceará totaliza 661.046 mil habitantes o que representa 38,31% da população da Superintendência Regional de Saúde Norte (1.725.431 milhões) e 7,13% da população do Ceará (9.268.836 milhões) e (IBGE, 2025). Foram identificados 171 estabelecimentos, sendo a maior parte pertencente à atenção primária (96) e localizados no município de Sobral (ver tabela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23"/>
        <w:gridCol w:w="3743"/>
        <w:gridCol w:w="2296"/>
        <w:gridCol w:w="917"/>
      </w:tblGrid>
      <w:tr>
        <w:trPr>
          <w:trHeight w:val="629"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Município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Tipo de estabelecimento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Nível assistencial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Total</w:t>
            </w:r>
          </w:p>
        </w:tc>
      </w:tr>
      <w:tr>
        <w:trPr>
          <w:trHeight w:val="62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Alcântaras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Cariré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Cariré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Cariré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Clinica/centro de especialidade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Catunda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Catunda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Policlinica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Coreaú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Coreaú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Forquilha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apoio a saude da familia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Forquilha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Frecheirinha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Frecheirinha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Frecheirinha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Clinica/centro de especialidade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Graça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Graça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r>
      <w:tr>
        <w:trPr>
          <w:trHeight w:val="62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Groaíras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apoio a saude da familia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Groaíras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Posto de saude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Hidrolândia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Hidrolândia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Ipu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w:t>
            </w:r>
          </w:p>
        </w:tc>
      </w:tr>
      <w:tr>
        <w:trPr>
          <w:trHeight w:val="62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Ipu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Irauçuba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Irauçuba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Irauçuba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Clinica/centro de especialidade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Massapê</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Massapê</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Meruoca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r>
      <w:tr>
        <w:trPr>
          <w:trHeight w:val="629"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Moraújo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Moraújo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Clinica/centro de especialidade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Mucambo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Mucambo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Mucambo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Clinica/centro de especialidade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Pacujá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Pires Ferreira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Posto de saude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Reriutaba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Reriutaba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Reriutaba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Hospital geral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terciária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Santa Quitéria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Santa Quitéria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w:t>
            </w:r>
          </w:p>
        </w:tc>
      </w:tr>
      <w:tr>
        <w:trPr>
          <w:trHeight w:val="629"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Santana do Acaraú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Santana do Acaraú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r>
      <w:tr>
        <w:trPr>
          <w:trHeight w:val="629"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Senador Sá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Senador Sá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Clinica/centro de especialidade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Sobral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w:t>
            </w:r>
          </w:p>
        </w:tc>
      </w:tr>
      <w:tr>
        <w:trPr>
          <w:trHeight w:val="629"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Sobral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w:t>
            </w:r>
          </w:p>
        </w:tc>
      </w:tr>
      <w:tr>
        <w:trPr>
          <w:trHeight w:val="629"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Sobral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Clinica/centro de especialidade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w:t>
            </w:r>
          </w:p>
        </w:tc>
      </w:tr>
      <w:tr>
        <w:trPr>
          <w:trHeight w:val="629"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Sobral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Hospital geral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terciária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w:t>
            </w:r>
          </w:p>
        </w:tc>
      </w:tr>
      <w:tr>
        <w:trPr>
          <w:trHeight w:val="623"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Sobral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Policlinica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Sobral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Posto de saude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w:t>
            </w:r>
          </w:p>
        </w:tc>
      </w:tr>
      <w:tr>
        <w:trPr>
          <w:trHeight w:val="629"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Uruoca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629"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Varjota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atencao psicossocial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629"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Varjota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Centro de saude/unidade basica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primária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w:t>
            </w:r>
          </w:p>
        </w:tc>
      </w:tr>
      <w:tr>
        <w:trPr>
          <w:trHeight w:val="629" w:hRule="auto"/>
        </w:trPr>
        body53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Varjota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Unidade mista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Atenção secundária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bl>
    <w:bookmarkEnd w:id="21"/>
    <w:bookmarkStart w:id="22" w:name="psicólogos-e-níveis-assistenciais"/>
    <w:p>
      <w:pPr>
        <w:pStyle w:val="Heading3"/>
      </w:pPr>
      <w:r>
        <w:t xml:space="preserve">Psicólogos e níveis assistenciais</w:t>
      </w:r>
    </w:p>
    <w:p>
      <w:pPr>
        <w:pStyle w:val="FirstParagraph"/>
      </w:pPr>
      <w:r>
        <w:t xml:space="preserve">Quanto ao total de psicólogos, foram contabilizados 171 vínculos cadastrados nos estabelecimentos. Destes, 96 atuam na atenção primária, 63 na secundária e 12 na terciária. Logo, foram encontrados psicólogos atuando em todos os níveis de atenção. Os únicos municípios com psicólogos na atenção terciária foram Sobral (11) e Reriutaba (1). Dentre os 24 municípios, 12 tem o seu maior quantitativo de vínculos na atenção primária; 7 apresentam predominância na atenção secundária;e 5 não possuem diferença entre os dois níveis. Não houve maior contingente no nível terciário em nenhum dos municípios. Para mais detalhes, consultar tabela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80"/>
        <w:gridCol w:w="2111"/>
        <w:gridCol w:w="2392"/>
        <w:gridCol w:w="2098"/>
        <w:gridCol w:w="2257"/>
        <w:gridCol w:w="1695"/>
      </w:tblGrid>
      <w:tr>
        <w:trPr>
          <w:trHeight w:val="612"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Município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Atenção primária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Atenção secundária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Atenção terciária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Vínculos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Porcentagem</w:t>
            </w:r>
          </w:p>
        </w:tc>
      </w:tr>
      <w:tr>
        <w:trPr>
          <w:trHeight w:val="57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Sobral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34%</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Varjota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8%</w:t>
            </w:r>
          </w:p>
        </w:tc>
      </w:tr>
      <w:tr>
        <w:trPr>
          <w:trHeight w:val="58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Santa Quitéria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7%</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Groaíras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r>
      <w:tr>
        <w:trPr>
          <w:trHeight w:val="61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Ipu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5%</w:t>
            </w:r>
          </w:p>
        </w:tc>
      </w:tr>
      <w:tr>
        <w:trPr>
          <w:trHeight w:val="57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Cariré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r>
      <w:tr>
        <w:trPr>
          <w:trHeight w:val="572"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Frecheirinha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r>
      <w:tr>
        <w:trPr>
          <w:trHeight w:val="6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Graça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r>
      <w:tr>
        <w:trPr>
          <w:trHeight w:val="61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Irauçuba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r>
      <w:tr>
        <w:trPr>
          <w:trHeight w:val="5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Meruoca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r>
      <w:tr>
        <w:trPr>
          <w:trHeight w:val="57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Santana do Acaraú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r>
      <w:tr>
        <w:trPr>
          <w:trHeight w:val="5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Pires Ferreira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r>
      <w:tr>
        <w:trPr>
          <w:trHeight w:val="57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Reriutaba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r>
      <w:tr>
        <w:trPr>
          <w:trHeight w:val="57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Senador Sá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r>
      <w:tr>
        <w:trPr>
          <w:trHeight w:val="572"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Uruoca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r>
      <w:tr>
        <w:trPr>
          <w:trHeight w:val="5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Alcântaras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r>
      <w:tr>
        <w:trPr>
          <w:trHeight w:val="612"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Forquilha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r>
      <w:tr>
        <w:trPr>
          <w:trHeight w:val="5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Hidrolândia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r>
      <w:tr>
        <w:trPr>
          <w:trHeight w:val="613"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Massapê</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r>
      <w:tr>
        <w:trPr>
          <w:trHeight w:val="5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Mucambo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r>
      <w:tr>
        <w:trPr>
          <w:trHeight w:val="615"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Pacujá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r>
      <w:tr>
        <w:trPr>
          <w:trHeight w:val="574"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Catunda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r>
      <w:tr>
        <w:trPr>
          <w:trHeight w:val="57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Coreaú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r>
      <w:tr>
        <w:trPr>
          <w:trHeight w:val="61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Moraújo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w:t>
            </w:r>
          </w:p>
        </w:tc>
      </w:tr>
      <w:tr>
        <w:trPr>
          <w:trHeight w:val="572" w:hRule="auto"/>
        </w:trPr>
        body25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en" w:hAnsi="Times New Romen" w:eastAsia="Times New Romen" w:cs="Times New Rome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en" w:hAnsi="Times New Romen" w:eastAsia="Times New Romen" w:cs="Times New Romen"/>
                <w:i w:val="false"/>
                <w:b w:val="false"/>
                <w:u w:val="none"/>
                <w:strike w:val="false"/>
                <w:sz w:val="24"/>
                <w:szCs w:val="24"/>
                <w:color w:val="000000"/>
              </w:rPr>
              <w:t xml:space="preserve">100%</w:t>
            </w:r>
          </w:p>
        </w:tc>
      </w:tr>
    </w:tbl>
    <w:p>
      <w:pPr>
        <w:pStyle w:val="BodyText"/>
      </w:pPr>
      <w:r>
        <w:t xml:space="preserve">Dos 171 registros de psicólogos, observou-se que havia um grupo de 21 profissionais com mais de um vínculo. A maioria (19) possuía dois registros, enquanto dois psicólogos apresentavam três vínculos ativos. Dos 21, 13 profissionais atuavam exclusivamente no nível primário (12 com dois vínculos e um com três). Quanto à atenção secundária, três profissionais mantinham dois vínculos cada. A análise de integração entre níveis revelou que três profissionais atuavam de forma híbrida entre as atenções primária e secundária (um vínculo em cada), enquanto um transitava entre a secundária e a terciária. Por fim, identificou-se um profissional com atuação mista, com dois vínculos na primária e um na secundária.</w:t>
      </w:r>
    </w:p>
    <w:p>
      <w:pPr>
        <w:pStyle w:val="BodyText"/>
      </w:pPr>
      <w:r>
        <w:t xml:space="preserve">Ainda assim, para a análise da rede assistencial, optou-se pela manutenção da totalidade dos vínculos. Tal decisão justifica-se pelo fato este estudo procurou investigar a ferta de psicólogos nos serviços em cada ponto da rede. Excluir vínculos sobrepostos (profissionais com acúmulo de cargos) resultaria em uma subestimação da cobertura assistencial em determinados níveis e uma superestimação em outros, uma vez que um único profissional pode desempenhar funções distintas e essenciais em diferentes estabelecimentos ou níveis de complexidade (primária, secundária ou terciária) (Constituição da República Federativa do Brasil, 1988, Art. 37, XVI). Assim, cada registro foi tratado como um posto de trabalho ativo e, assim, refletir a disponibilidade real de atendimento à população em cada serviço de saúde.</w:t>
      </w:r>
    </w:p>
    <w:bookmarkEnd w:id="22"/>
    <w:bookmarkEnd w:id="23"/>
    <w:bookmarkStart w:id="24" w:name="procedimento-de-análise-de-dados"/>
    <w:p>
      <w:pPr>
        <w:pStyle w:val="Heading2"/>
      </w:pPr>
      <w:r>
        <w:t xml:space="preserve">Procedimento de análise de dados</w:t>
      </w:r>
    </w:p>
    <w:p>
      <w:pPr>
        <w:pStyle w:val="FirstParagraph"/>
      </w:pPr>
      <w:r>
        <w:t xml:space="preserve">As análises também foram realizadas utilizando o software R (R Core Team, 2025). Foi usado o pacote tidyverse para importação, manipulação e visualização de dados; o rstatix para verificar os pressupostos de normalidade (teste de Shapiro-Wilk) e homogeneidade de variância (teste de Levene), o tamanho de efeito e a correlação bivariada; o MKinfer para cumputar o teste t de Student com bootstrapping; ggpubr e o scales para aprimorar os gráficos das correlações.</w:t>
      </w:r>
    </w:p>
    <w:p>
      <w:pPr>
        <w:pStyle w:val="BodyText"/>
      </w:pPr>
      <w:r>
        <w:t xml:space="preserve">O teste t de Student para amostras independentes objetivou investigar em que medida a cobertura de psicólogos era diferente entre os níveis primário e secundário. Foram realizados procedimentos de bootstrapping (1000 re-amostragens; 95% IC) para se obter uma maior confiabilidade dos resultados, para corrigir desvios de normalidade da distribuição da amostra, diferenças entre os tamanhos dos grupos e para apresentar um intervalo de confiança de 95% para as diferenças entre as médias (Haukoos &amp; Lewis, 2005).</w:t>
      </w:r>
    </w:p>
    <w:p>
      <w:pPr>
        <w:pStyle w:val="BodyText"/>
      </w:pPr>
      <w:r>
        <w:t xml:space="preserve">Os teste de correlação avaliou em que medida o contingente populacional de dado município estava associado com o total de vínculos de psicólogos. Tal análise foi feita para os níveis primário e secundário agrupados e para a atenção primária e secundária separadamente, a fim de verificar se a associação existia e se tal padrão se mantém nesses níveis isoladamente. Optou-se por excluir a atenção terciária, na medida em que havia vínculos de psicólogos em apenas dois municípios (Sobral e Reriutaba). Para contornar a discordância com o pressuposto de normalidade, baixo tamanho amostral e a presença de um outileir (Sobral), decidiu-se utilizar o tau de Kendall por apresentar menor viés que o rho de Spearman e o coeficiente de Pearson nessas circuntâncias (Xu et al., 2013).</w:t>
      </w:r>
    </w:p>
    <w:bookmarkEnd w:id="24"/>
    <w:bookmarkStart w:id="25" w:name="considerações-éticas"/>
    <w:p>
      <w:pPr>
        <w:pStyle w:val="Heading2"/>
      </w:pPr>
      <w:r>
        <w:t xml:space="preserve">Considerações éticas</w:t>
      </w:r>
    </w:p>
    <w:p>
      <w:pPr>
        <w:pStyle w:val="FirstParagraph"/>
      </w:pPr>
      <w:r>
        <w:t xml:space="preserve">Uma vez que os dados utilizados são de acesso público, a submissão ao comitê de ética não se fez necessária, o que está em conformidade com a Resolução nº 510, de 7 de abril de 2016 do Conselho Nacional de Saúde.</w:t>
      </w:r>
    </w:p>
    <w:bookmarkEnd w:id="25"/>
    <w:bookmarkEnd w:id="26"/>
    <w:bookmarkStart w:id="30" w:name="resultados"/>
    <w:p>
      <w:pPr>
        <w:pStyle w:val="Heading1"/>
      </w:pPr>
      <w:r>
        <w:t xml:space="preserve">Resultados</w:t>
      </w:r>
    </w:p>
    <w:p>
      <w:pPr>
        <w:pStyle w:val="FirstParagraph"/>
      </w:pPr>
      <w:r>
        <w:t xml:space="preserve">Os resultados indicaram desvio de normalidade para a cobertura de psicólogos (vínculos por habitantes) apenas na atenção secundária (</w:t>
      </w:r>
      <w:r>
        <w:rPr>
          <w:i/>
          <w:iCs/>
        </w:rPr>
        <w:t xml:space="preserve">W</w:t>
      </w:r>
      <w:r>
        <w:t xml:space="preserve"> </w:t>
      </w:r>
      <w:r>
        <w:t xml:space="preserve">= 0,78;</w:t>
      </w:r>
      <w:r>
        <w:t xml:space="preserve"> </w:t>
      </w:r>
      <w:r>
        <w:rPr>
          <w:i/>
          <w:iCs/>
        </w:rPr>
        <w:t xml:space="preserve">p</w:t>
      </w:r>
      <w:r>
        <w:t xml:space="preserve">&lt; 0,001). Além disso, observou-se a existência de psicólogos atuando na atenção primária em todos os 24 municípios, mas apenas 18 cidades contavam com a presença de tais profissionais no nível secundário (ver tabela 1). Embora exista essa diferença, a relação entre habitantes por vínculo de psicólogos não apresentou diferença significativa (</w:t>
      </w:r>
      <w:r>
        <w:rPr>
          <w:i/>
          <w:iCs/>
        </w:rPr>
        <w:t xml:space="preserve">t</w:t>
      </w:r>
      <w:r>
        <w:t xml:space="preserve">(25,37) = -1,44,</w:t>
      </w:r>
      <w:r>
        <w:t xml:space="preserve"> </w:t>
      </w:r>
      <w:r>
        <w:rPr>
          <w:i/>
          <w:iCs/>
        </w:rPr>
        <w:t xml:space="preserve">p</w:t>
      </w:r>
      <w:r>
        <w:t xml:space="preserve"> </w:t>
      </w:r>
      <w:r>
        <w:t xml:space="preserve">= 0,09) [IC 95% -8966,91, 636,87], com tamanho de efeito pequeno (d de Cohen = 0,48).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31"/>
        <w:gridCol w:w="2068"/>
        <w:gridCol w:w="1389"/>
        <w:gridCol w:w="1866"/>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Nível assistencial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Nº de municípios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Média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Desvio-Padrão</w:t>
            </w:r>
          </w:p>
        </w:tc>
      </w:tr>
      <w:tr>
        <w:trPr>
          <w:trHeight w:val="61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atenção primária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8.712,69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5.764,46</w:t>
            </w:r>
          </w:p>
        </w:tc>
      </w:tr>
      <w:tr>
        <w:trPr>
          <w:trHeight w:val="612"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atenção secundária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12.519,86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9.993,39</w:t>
            </w:r>
          </w:p>
        </w:tc>
      </w:tr>
    </w:tbl>
    <w:p>
      <w:pPr>
        <w:pStyle w:val="BodyText"/>
      </w:pPr>
      <w:r>
        <w:t xml:space="preserve">Também houve ausência de normalidade para as variáveis população municipal e total de vínculos de psicólogos tanto quando se agrupou atenção primária e secundária, quanto na situação em que foram analiadas isoladamente. Além disso, o teste de correlação tau de Kendall mostrou que existe associação significativa, positiva e moderada entre o tamanho populacional e o número de vínculos de psicólogos (</w:t>
      </w:r>
      <m:oMath>
        <m:r>
          <m:t>τ</m:t>
        </m:r>
      </m:oMath>
      <w:r>
        <w:t xml:space="preserve"> </w:t>
      </w:r>
      <w:r>
        <w:t xml:space="preserve">= 0,44; p &lt; 0,01) quando se observa a rede de modo agregado. Entretanto, esse relação não se sustenta quando os níveis de assistenciais são analisados do modo separado. A atenção primária apresentou uma correlação fraca e não significativa (</w:t>
      </w:r>
      <m:oMath>
        <m:r>
          <m:t>τ</m:t>
        </m:r>
      </m:oMath>
      <w:r>
        <w:t xml:space="preserve"> </w:t>
      </w:r>
      <w:r>
        <w:t xml:space="preserve">= 0,21; p &lt; 0,21), assim como a secundária (</w:t>
      </w:r>
      <m:oMath>
        <m:r>
          <m:t>τ</m:t>
        </m:r>
      </m:oMath>
      <w:r>
        <w:t xml:space="preserve"> </w:t>
      </w:r>
      <w:r>
        <w:t xml:space="preserve">= 0,25; p &lt; 0,18) (ver figura 1).</w:t>
      </w:r>
    </w:p>
    <w:p>
      <w:pPr>
        <w:pStyle w:val="BodyText"/>
      </w:pPr>
      <w:r>
        <w:drawing>
          <wp:inline>
            <wp:extent cx="4620126" cy="3696101"/>
            <wp:effectExtent b="0" l="0" r="0" t="0"/>
            <wp:docPr descr="" title="" id="28" name="Picture"/>
            <a:graphic>
              <a:graphicData uri="http://schemas.openxmlformats.org/drawingml/2006/picture">
                <pic:pic>
                  <pic:nvPicPr>
                    <pic:cNvPr descr="escrita_files/figure-docx/unnamed-chunk-8-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1" w:name="referências"/>
    <w:p>
      <w:pPr>
        <w:pStyle w:val="Heading1"/>
      </w:pPr>
      <w:r>
        <w:t xml:space="preserve">Referências</w:t>
      </w:r>
    </w:p>
    <w:p>
      <w:pPr>
        <w:pStyle w:val="FirstParagraph"/>
      </w:pPr>
      <w:r>
        <w:t xml:space="preserve">Brasil. (1988). Constituição da República Federativa do Brasil. Presidência da República. http://www.planalto.gov.br/ccivil_03/constituicao/constituicao.htm</w:t>
      </w:r>
    </w:p>
    <w:p>
      <w:pPr>
        <w:pStyle w:val="BodyText"/>
      </w:pPr>
      <w:r>
        <w:t xml:space="preserve">Conselho Nacional de Saúde. (2016). Resolução nº 510, de 7 de abril de 2016. Dispõe sobre as normas aplicáveis a pesquisas em Ciências Humanas e Sociais. http://conselho.saude.gov.br/resolucoes/2016/Reso510.pdf</w:t>
      </w:r>
    </w:p>
    <w:p>
      <w:pPr>
        <w:pStyle w:val="BodyText"/>
      </w:pPr>
      <w:r>
        <w:t xml:space="preserve">Instituto Brasileiro de Geografia e Estatística. (2025). Estimativas de população. https://www.ibge.gov.br/estatisticas/sociais/populacao/9103-estimativas-de-populacao.html</w:t>
      </w:r>
    </w:p>
    <w:p>
      <w:pPr>
        <w:pStyle w:val="BodyText"/>
      </w:pPr>
      <w:r>
        <w:t xml:space="preserve">Ministério da Saúde. (2025). Cadastro Nacional de Estabelecimentos de Saúde (CNES): Bases de dados. Recuperado em [insira o dia e mês da coleta], 2025, de https://cnes.datasus.gov.br/pages/downloads/arquivosBaseDados.jsp</w:t>
      </w:r>
    </w:p>
    <w:p>
      <w:pPr>
        <w:pStyle w:val="BodyText"/>
      </w:pPr>
      <w:r>
        <w:t xml:space="preserve">Ministério da Saúde. (2017, 28 de setembro). Portaria de consolidação nº 3, de 28 de setembro de 2017. Consolidação das normas sobre as redes do Sistema Único de Saúde. Biblioteca Virtual em Saúde do Ministério da Saúde. https://bvsms.saude.gov.br/bvs/saudelegis/gm/2017/prt0003_28_09_2017.html</w:t>
      </w:r>
    </w:p>
    <w:p>
      <w:pPr>
        <w:pStyle w:val="BodyText"/>
      </w:pPr>
      <w:r>
        <w:t xml:space="preserve">Xu, W., Hou, Y., Hung, Y. S., &amp; Zou, Y. (2013). A comparative analysis of Spearman’s rho and Kendall’s tau in normal and contaminated normal models. Signal Processing, 93(1), 261–276. https://doi.org/10.1016/j.sigpro.2012.08.005</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Distribuição dos psicólogos nos níveis assistenciais na 11º região de saúde do Ceará</dc:title>
  <dc:creator/>
  <cp:keywords/>
  <dcterms:created xsi:type="dcterms:W3CDTF">2026-02-23T13:30:38Z</dcterms:created>
  <dcterms:modified xsi:type="dcterms:W3CDTF">2026-02-23T13:30:38Z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