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0"/>
          <w:szCs w:val="20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0" w:footer="0"/>
          <w:pgNumType w:start="1"/>
        </w:sectPr>
      </w:pPr>
      <w:bookmarkStart w:colFirst="0" w:colLast="0" w:name="_heading=h.gi3ec4q91cd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  <w:sectPr>
          <w:type w:val="nextPage"/>
          <w:pgSz w:h="16834" w:w="11909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fum32fvfe4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07575821"/>
        <w:tag w:val="goog_rdk_0"/>
      </w:sdtPr>
      <w:sdtContent>
        <w:tbl>
          <w:tblPr>
            <w:tblStyle w:val="Table2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0"/>
            <w:gridCol w:w="4410"/>
            <w:tblGridChange w:id="0">
              <w:tblGrid>
                <w:gridCol w:w="4410"/>
                <w:gridCol w:w="4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spacing w:after="240" w:before="240" w:line="259" w:lineRule="auto"/>
                  <w:rPr/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Valor Mensal Total da Frota: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240" w:before="240" w:line="259" w:lineRule="auto"/>
                  <w:rPr/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{{VALOR_MENSAL_FROTA}}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Valor Total do Contrato: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{{VALOR_TOTAL_CONTRATO}}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Quantidade de Veículos Contratados: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{{QTD_VEICULOS}}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Tempo de Contrato: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{{TEMPO_CONTRATO}}</w:t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6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9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</w:style>
  <w:style w:type="table" w:styleId="13" w:customStyle="1">
    <w:name w:val="Table Normal"/>
    <w:uiPriority w:val="0"/>
    <w:qFormat w:val="1"/>
  </w:style>
  <w:style w:type="table" w:styleId="14" w:customStyle="1">
    <w:name w:val="_Style 1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7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GWViYufFLFbI/ZGbKY26QUVLA==">CgMxLjAaHwoBMBIaChgICVIUChJ0YWJsZS5sNGdvZXM1b3g1eGUyDmguZ2kzZWM0cTkxY2Q2MghoLmdqZGd4czIJaC4zMGowemxsMgloLjFmb2I5dGUyDWgueXlqMGdmaHNrcW8yDWguZnVtMzJmdmZlNHMyCWguM2R5NnZrbTgAciExSTEwUjM4Sk9Fdm5JYktlbnc4VW1GSnNMQUpHRThxQjI=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