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06B" w:rsidRDefault="00E8006B">
      <w:pPr>
        <w:spacing w:line="360" w:lineRule="auto"/>
        <w:jc w:val="center"/>
        <w:rPr>
          <w:sz w:val="22"/>
          <w:szCs w:val="22"/>
        </w:rPr>
      </w:pPr>
      <w:bookmarkStart w:id="0" w:name="_GoBack"/>
      <w:bookmarkEnd w:id="0"/>
    </w:p>
    <w:p w:rsidR="00E8006B" w:rsidRDefault="009B70C8">
      <w:pPr>
        <w:spacing w:line="360" w:lineRule="auto"/>
        <w:jc w:val="center"/>
        <w:rPr>
          <w:sz w:val="22"/>
          <w:szCs w:val="22"/>
        </w:rPr>
      </w:pPr>
      <w:r>
        <w:rPr>
          <w:b/>
          <w:bCs/>
          <w:sz w:val="22"/>
          <w:szCs w:val="22"/>
        </w:rPr>
        <w:t>GESTÃO E POLÍTICA DO ESPORTE UNIVERSITÁRIO NO BRASIL:</w:t>
      </w:r>
      <w:r>
        <w:rPr>
          <w:sz w:val="22"/>
          <w:szCs w:val="22"/>
        </w:rPr>
        <w:t xml:space="preserve"> </w:t>
      </w:r>
      <w:r>
        <w:rPr>
          <w:b/>
          <w:bCs/>
          <w:sz w:val="22"/>
          <w:szCs w:val="22"/>
        </w:rPr>
        <w:t>UMA ANÁLISE A PARTIR DAS UNIVERSIDADES FEDERAIS</w:t>
      </w:r>
    </w:p>
    <w:p w:rsidR="00E8006B" w:rsidRDefault="00E8006B">
      <w:pPr>
        <w:spacing w:line="360" w:lineRule="auto"/>
        <w:jc w:val="center"/>
        <w:rPr>
          <w:b/>
          <w:bCs/>
          <w:sz w:val="22"/>
          <w:szCs w:val="22"/>
        </w:rPr>
      </w:pPr>
    </w:p>
    <w:p w:rsidR="00E8006B" w:rsidRDefault="00E8006B">
      <w:pPr>
        <w:spacing w:line="360" w:lineRule="auto"/>
        <w:jc w:val="center"/>
        <w:rPr>
          <w:b/>
          <w:bCs/>
          <w:sz w:val="22"/>
          <w:szCs w:val="22"/>
        </w:rPr>
      </w:pPr>
    </w:p>
    <w:p w:rsidR="00E8006B" w:rsidRDefault="009B70C8">
      <w:pPr>
        <w:spacing w:line="360" w:lineRule="auto"/>
        <w:jc w:val="center"/>
        <w:rPr>
          <w:b/>
          <w:bCs/>
          <w:sz w:val="22"/>
          <w:szCs w:val="22"/>
          <w:lang w:val="en-US"/>
        </w:rPr>
      </w:pPr>
      <w:r>
        <w:rPr>
          <w:b/>
          <w:bCs/>
          <w:sz w:val="22"/>
          <w:szCs w:val="22"/>
          <w:lang w:val="en-US"/>
        </w:rPr>
        <w:t>MANAGEMENT, POLITICS AND POLICY OF UNIVERSITY SPORTS IN BRAZIL: AN ANALYSIS OF FEDERAL UNIVERSITIES</w:t>
      </w:r>
    </w:p>
    <w:p w:rsidR="00E8006B" w:rsidRDefault="00E8006B">
      <w:pPr>
        <w:spacing w:line="360" w:lineRule="auto"/>
        <w:rPr>
          <w:sz w:val="22"/>
          <w:szCs w:val="22"/>
          <w:lang w:val="en-US"/>
        </w:rPr>
      </w:pPr>
    </w:p>
    <w:p w:rsidR="00E8006B" w:rsidRDefault="00E8006B">
      <w:pPr>
        <w:spacing w:line="360" w:lineRule="auto"/>
        <w:rPr>
          <w:sz w:val="22"/>
          <w:szCs w:val="22"/>
          <w:lang w:val="en-US"/>
        </w:rPr>
      </w:pPr>
    </w:p>
    <w:p w:rsidR="00E8006B" w:rsidRDefault="009B70C8">
      <w:pPr>
        <w:spacing w:line="360" w:lineRule="auto"/>
        <w:jc w:val="center"/>
        <w:rPr>
          <w:b/>
          <w:bCs/>
          <w:sz w:val="22"/>
          <w:szCs w:val="22"/>
          <w:lang w:val="es-ES"/>
        </w:rPr>
      </w:pPr>
      <w:r>
        <w:rPr>
          <w:b/>
          <w:bCs/>
          <w:sz w:val="22"/>
          <w:szCs w:val="22"/>
          <w:lang w:val="es-ES"/>
        </w:rPr>
        <w:t>GESTIÓN Y POLÍTICA DEL DEPORTE UNIVERSITARIO EN BRASIL: UN ANÁLISIS A PARTIR DE LAS UNIVERSIDADES FEDERALES</w:t>
      </w:r>
    </w:p>
    <w:p w:rsidR="00E8006B" w:rsidRDefault="00E8006B" w:rsidP="008E74B3">
      <w:pPr>
        <w:spacing w:line="360" w:lineRule="auto"/>
        <w:jc w:val="right"/>
        <w:rPr>
          <w:sz w:val="22"/>
          <w:szCs w:val="22"/>
        </w:rPr>
      </w:pPr>
    </w:p>
    <w:p w:rsidR="008E74B3" w:rsidRPr="008E74B3" w:rsidRDefault="008E74B3" w:rsidP="008E74B3">
      <w:pPr>
        <w:spacing w:line="360" w:lineRule="auto"/>
        <w:jc w:val="right"/>
        <w:rPr>
          <w:bCs/>
          <w:sz w:val="22"/>
          <w:szCs w:val="22"/>
        </w:rPr>
      </w:pPr>
      <w:r w:rsidRPr="008E74B3">
        <w:rPr>
          <w:bCs/>
          <w:sz w:val="22"/>
          <w:szCs w:val="22"/>
        </w:rPr>
        <w:t>Cláudio Gomes Barbosa</w:t>
      </w:r>
      <w:r w:rsidRPr="008E74B3">
        <w:rPr>
          <w:bCs/>
          <w:sz w:val="22"/>
          <w:szCs w:val="22"/>
          <w:vertAlign w:val="superscript"/>
        </w:rPr>
        <w:t>1</w:t>
      </w:r>
    </w:p>
    <w:p w:rsidR="008E74B3" w:rsidRPr="008E74B3" w:rsidRDefault="008E74B3" w:rsidP="008E74B3">
      <w:pPr>
        <w:spacing w:line="360" w:lineRule="auto"/>
        <w:jc w:val="right"/>
        <w:rPr>
          <w:sz w:val="22"/>
          <w:szCs w:val="22"/>
        </w:rPr>
      </w:pPr>
      <w:r w:rsidRPr="008E74B3">
        <w:rPr>
          <w:bCs/>
          <w:sz w:val="22"/>
          <w:szCs w:val="22"/>
        </w:rPr>
        <w:t xml:space="preserve"> Cleber Dias</w:t>
      </w:r>
      <w:r w:rsidRPr="008E74B3">
        <w:rPr>
          <w:bCs/>
          <w:sz w:val="22"/>
          <w:szCs w:val="22"/>
          <w:vertAlign w:val="superscript"/>
        </w:rPr>
        <w:t>2</w:t>
      </w:r>
    </w:p>
    <w:p w:rsidR="008E74B3" w:rsidRDefault="008E74B3" w:rsidP="008E74B3">
      <w:pPr>
        <w:spacing w:line="360" w:lineRule="auto"/>
        <w:jc w:val="right"/>
        <w:rPr>
          <w:sz w:val="22"/>
          <w:szCs w:val="22"/>
        </w:rPr>
      </w:pPr>
    </w:p>
    <w:p w:rsidR="00E8006B" w:rsidRDefault="009B70C8">
      <w:pPr>
        <w:spacing w:line="360" w:lineRule="auto"/>
        <w:jc w:val="both"/>
        <w:rPr>
          <w:sz w:val="22"/>
          <w:szCs w:val="22"/>
        </w:rPr>
      </w:pPr>
      <w:r>
        <w:rPr>
          <w:b/>
          <w:bCs/>
          <w:sz w:val="22"/>
          <w:szCs w:val="22"/>
        </w:rPr>
        <w:t xml:space="preserve">Resumo: </w:t>
      </w:r>
      <w:r>
        <w:rPr>
          <w:sz w:val="22"/>
          <w:szCs w:val="22"/>
        </w:rPr>
        <w:t xml:space="preserve">Este artigo analisa a política e a gestão do esporte universitário no Brasil por meio de um estudo exploratório e quantitativo de corte transversal. Com base em um questionário on-line aplicado entre junho e setembro de 2025 a representantes de 54 universidades federais, a pesquisa mapeou estruturas organizacionais, fontes de financiamento, percepções sobre infraestrutura esportiva e formas de participação estudantil. Os resultados revelam grande institucionalização da gestão do esporte nas universidades federais. Essa institucionalização, por sua vez, aparece positivamente associada a maiores orçamentos, à presença de técnicos desportivos, ao uso de editais, a melhor percepção da qualidade da infraestrutura e ao número de associações atléticas estudantis. </w:t>
      </w:r>
    </w:p>
    <w:p w:rsidR="00E8006B" w:rsidRDefault="00E8006B">
      <w:pPr>
        <w:spacing w:line="360" w:lineRule="auto"/>
        <w:jc w:val="both"/>
        <w:rPr>
          <w:b/>
          <w:bCs/>
          <w:sz w:val="22"/>
          <w:szCs w:val="22"/>
        </w:rPr>
      </w:pPr>
    </w:p>
    <w:p w:rsidR="00E8006B" w:rsidRDefault="00E8006B">
      <w:pPr>
        <w:spacing w:line="360" w:lineRule="auto"/>
        <w:jc w:val="both"/>
        <w:rPr>
          <w:b/>
          <w:bCs/>
          <w:sz w:val="22"/>
          <w:szCs w:val="22"/>
        </w:rPr>
      </w:pPr>
    </w:p>
    <w:p w:rsidR="00E8006B" w:rsidRDefault="009B70C8">
      <w:pPr>
        <w:spacing w:line="360" w:lineRule="auto"/>
        <w:jc w:val="both"/>
        <w:rPr>
          <w:sz w:val="22"/>
          <w:szCs w:val="22"/>
        </w:rPr>
      </w:pPr>
      <w:r>
        <w:rPr>
          <w:b/>
          <w:bCs/>
          <w:sz w:val="22"/>
          <w:szCs w:val="22"/>
        </w:rPr>
        <w:t xml:space="preserve">Palavras-chave: </w:t>
      </w:r>
      <w:r>
        <w:rPr>
          <w:sz w:val="22"/>
          <w:szCs w:val="22"/>
        </w:rPr>
        <w:t>esporte universitário; gestão esportiva; políticas públicas de esporte; universidades federais.</w:t>
      </w:r>
    </w:p>
    <w:p w:rsidR="00E8006B" w:rsidRDefault="00E8006B">
      <w:pPr>
        <w:spacing w:line="360" w:lineRule="auto"/>
        <w:rPr>
          <w:sz w:val="22"/>
          <w:szCs w:val="22"/>
        </w:rPr>
      </w:pPr>
    </w:p>
    <w:p w:rsidR="00E8006B" w:rsidRDefault="00E8006B">
      <w:pPr>
        <w:spacing w:line="360" w:lineRule="auto"/>
        <w:jc w:val="center"/>
        <w:rPr>
          <w:b/>
          <w:bCs/>
          <w:sz w:val="22"/>
          <w:szCs w:val="22"/>
        </w:rPr>
      </w:pPr>
    </w:p>
    <w:p w:rsidR="00E8006B" w:rsidRDefault="00E8006B">
      <w:pPr>
        <w:spacing w:line="360" w:lineRule="auto"/>
        <w:jc w:val="center"/>
        <w:rPr>
          <w:b/>
          <w:bCs/>
          <w:sz w:val="22"/>
          <w:szCs w:val="22"/>
        </w:rPr>
      </w:pPr>
    </w:p>
    <w:p w:rsidR="00E8006B" w:rsidRDefault="00E8006B">
      <w:pPr>
        <w:spacing w:line="360" w:lineRule="auto"/>
        <w:jc w:val="center"/>
        <w:rPr>
          <w:b/>
          <w:bCs/>
          <w:sz w:val="22"/>
          <w:szCs w:val="22"/>
        </w:rPr>
      </w:pPr>
    </w:p>
    <w:p w:rsidR="00E8006B" w:rsidRDefault="00E8006B">
      <w:pPr>
        <w:spacing w:line="360" w:lineRule="auto"/>
        <w:jc w:val="center"/>
        <w:rPr>
          <w:b/>
          <w:bCs/>
          <w:sz w:val="22"/>
          <w:szCs w:val="22"/>
        </w:rPr>
        <w:sectPr w:rsidR="00E8006B">
          <w:footerReference w:type="even" r:id="rId6"/>
          <w:footerReference w:type="default" r:id="rId7"/>
          <w:footerReference w:type="first" r:id="rId8"/>
          <w:pgSz w:w="11906" w:h="16838"/>
          <w:pgMar w:top="1418" w:right="1701" w:bottom="3772" w:left="1701" w:header="0" w:footer="1418" w:gutter="0"/>
          <w:cols w:space="720"/>
          <w:formProt w:val="0"/>
          <w:docGrid w:linePitch="360"/>
        </w:sectPr>
      </w:pPr>
    </w:p>
    <w:p w:rsidR="00E8006B" w:rsidRDefault="00E8006B">
      <w:pPr>
        <w:spacing w:line="360" w:lineRule="auto"/>
        <w:jc w:val="center"/>
        <w:rPr>
          <w:b/>
          <w:bCs/>
          <w:sz w:val="22"/>
          <w:szCs w:val="22"/>
        </w:rPr>
      </w:pPr>
    </w:p>
    <w:p w:rsidR="00E8006B" w:rsidRDefault="009B70C8">
      <w:pPr>
        <w:spacing w:line="360" w:lineRule="auto"/>
        <w:jc w:val="both"/>
        <w:rPr>
          <w:sz w:val="22"/>
          <w:szCs w:val="22"/>
          <w:lang w:val="en-US"/>
        </w:rPr>
      </w:pPr>
      <w:r>
        <w:rPr>
          <w:b/>
          <w:bCs/>
          <w:sz w:val="22"/>
          <w:szCs w:val="22"/>
          <w:lang w:val="en-US"/>
        </w:rPr>
        <w:t>Abstract</w:t>
      </w:r>
      <w:r>
        <w:rPr>
          <w:sz w:val="22"/>
          <w:szCs w:val="22"/>
          <w:lang w:val="en-US"/>
        </w:rPr>
        <w:t xml:space="preserve">: This article analyzes the policy and management of university sports in Brazil through an exploratory, quantitative, cross-sectional study. Based on an online questionnaire administered between June and September 2025 to representatives of 54 federal universities, the study mapped organizational structures, funding sources, perceptions of sports infrastructure, and forms of student participation. The results reveal a high degree of institutionalization of sports management in federal universities. This institutionalization is positively associated with larger budgets, the presence of sports technicians, the use of public calls for funding allocation, better perceptions of infrastructure quality, and a higher number of student athletic associations. </w:t>
      </w:r>
    </w:p>
    <w:p w:rsidR="00E8006B" w:rsidRDefault="00E8006B">
      <w:pPr>
        <w:spacing w:line="360" w:lineRule="auto"/>
        <w:jc w:val="both"/>
        <w:rPr>
          <w:sz w:val="22"/>
          <w:szCs w:val="22"/>
          <w:lang w:val="en-US"/>
        </w:rPr>
      </w:pPr>
    </w:p>
    <w:p w:rsidR="00E8006B" w:rsidRDefault="009B70C8">
      <w:pPr>
        <w:spacing w:line="360" w:lineRule="auto"/>
        <w:jc w:val="both"/>
        <w:rPr>
          <w:sz w:val="22"/>
          <w:szCs w:val="22"/>
          <w:lang w:val="es-ES"/>
        </w:rPr>
      </w:pPr>
      <w:proofErr w:type="spellStart"/>
      <w:r>
        <w:rPr>
          <w:b/>
          <w:bCs/>
          <w:sz w:val="22"/>
          <w:szCs w:val="22"/>
          <w:lang w:val="es-ES"/>
        </w:rPr>
        <w:t>Keywords</w:t>
      </w:r>
      <w:proofErr w:type="spellEnd"/>
      <w:r>
        <w:rPr>
          <w:sz w:val="22"/>
          <w:szCs w:val="22"/>
          <w:lang w:val="es-ES"/>
        </w:rPr>
        <w:t xml:space="preserve">: </w:t>
      </w:r>
      <w:proofErr w:type="spellStart"/>
      <w:r>
        <w:rPr>
          <w:sz w:val="22"/>
          <w:szCs w:val="22"/>
          <w:lang w:val="es-ES"/>
        </w:rPr>
        <w:t>University</w:t>
      </w:r>
      <w:proofErr w:type="spellEnd"/>
      <w:r>
        <w:rPr>
          <w:sz w:val="22"/>
          <w:szCs w:val="22"/>
          <w:lang w:val="es-ES"/>
        </w:rPr>
        <w:t xml:space="preserve"> Sport; </w:t>
      </w:r>
      <w:proofErr w:type="spellStart"/>
      <w:r>
        <w:rPr>
          <w:sz w:val="22"/>
          <w:szCs w:val="22"/>
          <w:lang w:val="es-ES"/>
        </w:rPr>
        <w:t>Sports</w:t>
      </w:r>
      <w:proofErr w:type="spellEnd"/>
      <w:r>
        <w:rPr>
          <w:sz w:val="22"/>
          <w:szCs w:val="22"/>
          <w:lang w:val="es-ES"/>
        </w:rPr>
        <w:t xml:space="preserve"> </w:t>
      </w:r>
      <w:proofErr w:type="spellStart"/>
      <w:r>
        <w:rPr>
          <w:sz w:val="22"/>
          <w:szCs w:val="22"/>
          <w:lang w:val="es-ES"/>
        </w:rPr>
        <w:t>management</w:t>
      </w:r>
      <w:proofErr w:type="spellEnd"/>
      <w:r>
        <w:rPr>
          <w:sz w:val="22"/>
          <w:szCs w:val="22"/>
          <w:lang w:val="es-ES"/>
        </w:rPr>
        <w:t xml:space="preserve">; </w:t>
      </w:r>
      <w:proofErr w:type="spellStart"/>
      <w:r>
        <w:rPr>
          <w:sz w:val="22"/>
          <w:szCs w:val="22"/>
          <w:lang w:val="es-ES"/>
        </w:rPr>
        <w:t>Public</w:t>
      </w:r>
      <w:proofErr w:type="spellEnd"/>
      <w:r>
        <w:rPr>
          <w:sz w:val="22"/>
          <w:szCs w:val="22"/>
          <w:lang w:val="es-ES"/>
        </w:rPr>
        <w:t xml:space="preserve"> </w:t>
      </w:r>
      <w:proofErr w:type="spellStart"/>
      <w:r>
        <w:rPr>
          <w:sz w:val="22"/>
          <w:szCs w:val="22"/>
          <w:lang w:val="es-ES"/>
        </w:rPr>
        <w:t>sports</w:t>
      </w:r>
      <w:proofErr w:type="spellEnd"/>
      <w:r>
        <w:rPr>
          <w:sz w:val="22"/>
          <w:szCs w:val="22"/>
          <w:lang w:val="es-ES"/>
        </w:rPr>
        <w:t xml:space="preserve"> </w:t>
      </w:r>
      <w:proofErr w:type="spellStart"/>
      <w:r>
        <w:rPr>
          <w:sz w:val="22"/>
          <w:szCs w:val="22"/>
          <w:lang w:val="es-ES"/>
        </w:rPr>
        <w:t>policy</w:t>
      </w:r>
      <w:proofErr w:type="spellEnd"/>
      <w:r>
        <w:rPr>
          <w:sz w:val="22"/>
          <w:szCs w:val="22"/>
          <w:lang w:val="es-ES"/>
        </w:rPr>
        <w:t xml:space="preserve">; </w:t>
      </w:r>
      <w:proofErr w:type="spellStart"/>
      <w:r>
        <w:rPr>
          <w:sz w:val="22"/>
          <w:szCs w:val="22"/>
          <w:lang w:val="es-ES"/>
        </w:rPr>
        <w:t>Universities</w:t>
      </w:r>
      <w:proofErr w:type="spellEnd"/>
      <w:r>
        <w:rPr>
          <w:sz w:val="22"/>
          <w:szCs w:val="22"/>
          <w:lang w:val="es-ES"/>
        </w:rPr>
        <w:t>.</w:t>
      </w:r>
    </w:p>
    <w:p w:rsidR="00E8006B" w:rsidRDefault="00E8006B">
      <w:pPr>
        <w:spacing w:line="360" w:lineRule="auto"/>
        <w:jc w:val="both"/>
        <w:rPr>
          <w:sz w:val="22"/>
          <w:szCs w:val="22"/>
          <w:lang w:val="es-ES"/>
        </w:rPr>
      </w:pPr>
    </w:p>
    <w:p w:rsidR="00E8006B" w:rsidRDefault="00E8006B">
      <w:pPr>
        <w:spacing w:line="360" w:lineRule="auto"/>
        <w:jc w:val="center"/>
        <w:rPr>
          <w:b/>
          <w:bCs/>
          <w:sz w:val="22"/>
          <w:szCs w:val="22"/>
          <w:lang w:val="es-ES"/>
        </w:rPr>
      </w:pPr>
    </w:p>
    <w:p w:rsidR="00E8006B" w:rsidRDefault="009B70C8">
      <w:pPr>
        <w:spacing w:line="360" w:lineRule="auto"/>
        <w:jc w:val="both"/>
        <w:rPr>
          <w:sz w:val="22"/>
          <w:szCs w:val="22"/>
          <w:lang w:val="es-ES"/>
        </w:rPr>
      </w:pPr>
      <w:r>
        <w:rPr>
          <w:b/>
          <w:bCs/>
          <w:sz w:val="22"/>
          <w:szCs w:val="22"/>
          <w:lang w:val="es-ES"/>
        </w:rPr>
        <w:t>Resumen</w:t>
      </w:r>
      <w:r>
        <w:rPr>
          <w:sz w:val="22"/>
          <w:szCs w:val="22"/>
          <w:lang w:val="es-ES"/>
        </w:rPr>
        <w:t xml:space="preserve">: Este artículo analiza la política y la gestión del deporte universitario en Brasil mediante un estudio exploratorio, cuantitativo y de corte transversal. A partir de un cuestionario en línea aplicado entre junio y septiembre de 2025 a representantes de 54 universidades federales, la investigación mapeó estructuras organizacionales, fuentes de financiamiento, percepciones sobre la infraestructura deportiva y formas de participación estudiantil. Los resultados revelan un alto grado de institucionalización de la gestión del deporte en las universidades federales. Esta institucionalización aparece positivamente asociada a mayores presupuestos, a la presencia de técnicos deportivos, al uso de convocatorias públicas para la distribución de recursos, a una mejor percepción de la calidad de la infraestructura y a un mayor número de asociaciones atléticas estudiantiles. </w:t>
      </w:r>
    </w:p>
    <w:p w:rsidR="00E8006B" w:rsidRDefault="00E8006B">
      <w:pPr>
        <w:spacing w:line="360" w:lineRule="auto"/>
        <w:jc w:val="both"/>
        <w:rPr>
          <w:b/>
          <w:bCs/>
          <w:sz w:val="22"/>
          <w:szCs w:val="22"/>
        </w:rPr>
      </w:pPr>
    </w:p>
    <w:p w:rsidR="00E8006B" w:rsidRDefault="00E8006B">
      <w:pPr>
        <w:spacing w:line="360" w:lineRule="auto"/>
        <w:jc w:val="both"/>
        <w:rPr>
          <w:b/>
          <w:bCs/>
          <w:sz w:val="22"/>
          <w:szCs w:val="22"/>
        </w:rPr>
      </w:pPr>
    </w:p>
    <w:p w:rsidR="00E8006B" w:rsidRDefault="009B70C8">
      <w:pPr>
        <w:spacing w:line="360" w:lineRule="auto"/>
        <w:jc w:val="both"/>
        <w:rPr>
          <w:sz w:val="22"/>
          <w:szCs w:val="22"/>
        </w:rPr>
      </w:pPr>
      <w:proofErr w:type="spellStart"/>
      <w:r>
        <w:rPr>
          <w:b/>
          <w:bCs/>
          <w:sz w:val="22"/>
          <w:szCs w:val="22"/>
        </w:rPr>
        <w:t>Palabras</w:t>
      </w:r>
      <w:proofErr w:type="spellEnd"/>
      <w:r>
        <w:rPr>
          <w:b/>
          <w:bCs/>
          <w:sz w:val="22"/>
          <w:szCs w:val="22"/>
        </w:rPr>
        <w:t>-clave</w:t>
      </w:r>
      <w:r>
        <w:rPr>
          <w:sz w:val="22"/>
          <w:szCs w:val="22"/>
        </w:rPr>
        <w:t xml:space="preserve">: Deporte </w:t>
      </w:r>
      <w:proofErr w:type="spellStart"/>
      <w:r>
        <w:rPr>
          <w:sz w:val="22"/>
          <w:szCs w:val="22"/>
        </w:rPr>
        <w:t>universitario</w:t>
      </w:r>
      <w:proofErr w:type="spellEnd"/>
      <w:r>
        <w:rPr>
          <w:sz w:val="22"/>
          <w:szCs w:val="22"/>
        </w:rPr>
        <w:t xml:space="preserve">; </w:t>
      </w:r>
      <w:proofErr w:type="spellStart"/>
      <w:r>
        <w:rPr>
          <w:sz w:val="22"/>
          <w:szCs w:val="22"/>
        </w:rPr>
        <w:t>Gestión</w:t>
      </w:r>
      <w:proofErr w:type="spellEnd"/>
      <w:r>
        <w:rPr>
          <w:sz w:val="22"/>
          <w:szCs w:val="22"/>
        </w:rPr>
        <w:t xml:space="preserve"> </w:t>
      </w:r>
      <w:proofErr w:type="spellStart"/>
      <w:r>
        <w:rPr>
          <w:sz w:val="22"/>
          <w:szCs w:val="22"/>
        </w:rPr>
        <w:t>deportiva</w:t>
      </w:r>
      <w:proofErr w:type="spellEnd"/>
      <w:r>
        <w:rPr>
          <w:sz w:val="22"/>
          <w:szCs w:val="22"/>
        </w:rPr>
        <w:t>; Políticas públicas de deporte; Universidades.</w:t>
      </w:r>
    </w:p>
    <w:p w:rsidR="00E8006B" w:rsidRDefault="00E8006B">
      <w:pPr>
        <w:spacing w:line="360" w:lineRule="auto"/>
        <w:rPr>
          <w:b/>
          <w:bCs/>
          <w:sz w:val="22"/>
          <w:szCs w:val="22"/>
        </w:rPr>
      </w:pPr>
    </w:p>
    <w:p w:rsidR="00E8006B" w:rsidRDefault="00E8006B">
      <w:pPr>
        <w:spacing w:line="360" w:lineRule="auto"/>
        <w:rPr>
          <w:b/>
          <w:bCs/>
          <w:sz w:val="22"/>
          <w:szCs w:val="22"/>
        </w:rPr>
      </w:pPr>
    </w:p>
    <w:p w:rsidR="00E8006B" w:rsidRDefault="009B70C8">
      <w:pPr>
        <w:spacing w:line="360" w:lineRule="auto"/>
        <w:rPr>
          <w:b/>
          <w:bCs/>
          <w:sz w:val="22"/>
          <w:szCs w:val="22"/>
        </w:rPr>
      </w:pPr>
      <w:r>
        <w:rPr>
          <w:b/>
          <w:bCs/>
          <w:sz w:val="22"/>
          <w:szCs w:val="22"/>
        </w:rPr>
        <w:t>1 - INTRODUÇÃO</w:t>
      </w:r>
    </w:p>
    <w:p w:rsidR="00E8006B" w:rsidRDefault="00E8006B">
      <w:pPr>
        <w:spacing w:line="360" w:lineRule="auto"/>
        <w:rPr>
          <w:sz w:val="22"/>
          <w:szCs w:val="22"/>
        </w:rPr>
      </w:pPr>
    </w:p>
    <w:p w:rsidR="00E8006B" w:rsidRDefault="009B70C8">
      <w:pPr>
        <w:spacing w:line="360" w:lineRule="auto"/>
        <w:ind w:firstLine="709"/>
        <w:jc w:val="both"/>
        <w:rPr>
          <w:sz w:val="22"/>
          <w:szCs w:val="22"/>
        </w:rPr>
      </w:pPr>
      <w:r>
        <w:rPr>
          <w:sz w:val="22"/>
          <w:szCs w:val="22"/>
        </w:rPr>
        <w:t>Nos ambientes educacionais, em geral, o esporte tem sido historicamente apontado como um campo relevante para a formação dos estudantes (MANGAN, 2000; HOULIHAN, 1997; POLLEY, 2011). Do mesmo modo, também nas instituições de ensino superior, a vinculação dos esportes com o aprimoramento da educação e da formação humana tem sido igualmente enfatizada (PESSOA; DIAS; 2019; 2020; SMITH, 1988; SOLBERG, 2018).</w:t>
      </w:r>
    </w:p>
    <w:p w:rsidR="00E8006B" w:rsidRDefault="009B70C8">
      <w:pPr>
        <w:spacing w:line="360" w:lineRule="auto"/>
        <w:ind w:firstLine="709"/>
        <w:jc w:val="both"/>
        <w:rPr>
          <w:sz w:val="22"/>
          <w:szCs w:val="22"/>
        </w:rPr>
      </w:pPr>
      <w:r>
        <w:rPr>
          <w:sz w:val="22"/>
          <w:szCs w:val="22"/>
        </w:rPr>
        <w:t xml:space="preserve">Por um lado, seguindo ou tentando seguir o modelo de organização consagrado nos Estados Unidos, geralmente se espera que as universidades desenvolvam programas esportivos competitivos e de alto rendimento, capazes de projetar a imagem dessas instituições no cenário regional, nacional e internacional. Por outro lado, como espaços de educação, as universidades também têm sido exigidas de promoverem a democratização do acesso aos esportes, como uma forma de garantia desse direito social, promoção de </w:t>
      </w:r>
      <w:r>
        <w:rPr>
          <w:sz w:val="22"/>
          <w:szCs w:val="22"/>
        </w:rPr>
        <w:lastRenderedPageBreak/>
        <w:t xml:space="preserve">qualidade de vida e instrumento de desenvolvimento de competências diversas (GRIFFITHS </w:t>
      </w:r>
      <w:r>
        <w:rPr>
          <w:i/>
          <w:iCs/>
          <w:sz w:val="22"/>
          <w:szCs w:val="22"/>
        </w:rPr>
        <w:t>et al</w:t>
      </w:r>
      <w:r>
        <w:rPr>
          <w:sz w:val="22"/>
          <w:szCs w:val="22"/>
        </w:rPr>
        <w:t>, 2017; KEMPER, 2014; MUÑOZ-BULLÓN; SANCHEZ-BUENO; VOS-SAZ, 2017). Conciliar as demandas concorrentes do esporte de rendimento com as necessidades do esporte educacional e participativo, contudo, tem sido um desafio difícil de realizar (BARBOSA, 2017), especialmente em um contexto de severas restrições orçamentárias, como tem sido o do ambiente das universidades brasileiras.</w:t>
      </w:r>
    </w:p>
    <w:p w:rsidR="00E8006B" w:rsidRDefault="009B70C8">
      <w:pPr>
        <w:spacing w:line="360" w:lineRule="auto"/>
        <w:ind w:firstLine="709"/>
        <w:jc w:val="both"/>
        <w:rPr>
          <w:sz w:val="22"/>
          <w:szCs w:val="22"/>
        </w:rPr>
      </w:pPr>
      <w:r>
        <w:rPr>
          <w:sz w:val="22"/>
          <w:szCs w:val="22"/>
        </w:rPr>
        <w:t>Em 2014, pela primeira vez após anos de expansão, os recursos do orçamento federal destinados para o ensino superior foram menores que no ano anterior, dando início a uma política de contingenciamento que se mostraria longeva. Entre 2014 e 2024, as universidades federais perderam mais de 50% de seus recursos discricionários, cujos montantes eram de R$ 17 bilhões em 2014, mas passaram a ser de apenas R$ 7 bilhões em 2024. Do mesmo modo, a verba para obras, construção de laboratórios e compra de equipamentos sofreu uma queda drástica de 73% entre 2010 e 2020. O montante de investimento, por seu turno, que era de R$ 1,5 bilhão em 2014, passou a ser de apenas R$ 188 milhões em 2022, em uma impressionante redução de 87%. O próprio funcionamento cotidiano e a manutenção de funções básicas das universidades passaram a depender, cada vez mais, de emendas parlamentares, cujos valores direcionados ao setor saltaram de R$ 306 milhões em 2014 para R$ 1,8 bilhão em 2025, tornando o financiamento do setor volátil e incerto (SOU_CIÊNCIA, 2024).</w:t>
      </w:r>
    </w:p>
    <w:p w:rsidR="00E8006B" w:rsidRDefault="009B70C8">
      <w:pPr>
        <w:spacing w:line="360" w:lineRule="auto"/>
        <w:ind w:firstLine="709"/>
        <w:jc w:val="both"/>
        <w:rPr>
          <w:sz w:val="22"/>
          <w:szCs w:val="22"/>
        </w:rPr>
      </w:pPr>
      <w:r>
        <w:rPr>
          <w:sz w:val="22"/>
          <w:szCs w:val="22"/>
        </w:rPr>
        <w:t xml:space="preserve">Nesse cenário de crescente escassez, contradições do arcabouço legislativo e das políticas esportivas brasileiras se tornam cada vez mais flagrantes. Em 2018, a Lei nº 13.756 determinou que a Confederação Brasileira de Desporto Universitário (CBDU) passasse a receber um percentual de 0,11% da arrecadação das receitas provenientes de loterias federais (MARQUES </w:t>
      </w:r>
      <w:r>
        <w:rPr>
          <w:i/>
          <w:iCs/>
          <w:sz w:val="22"/>
          <w:szCs w:val="22"/>
        </w:rPr>
        <w:t>et al</w:t>
      </w:r>
      <w:r>
        <w:rPr>
          <w:sz w:val="22"/>
          <w:szCs w:val="22"/>
        </w:rPr>
        <w:t>, 2021). Assim, entre 2020 e 2025, a CBDU recebeu cerca de 142 milhões de reais relativos aos repasses desses recursos (cf. CAIXA ECONÔMICA FEDERAL, 2021; 2022; 2023; 2024; CBDU, 2025). Se este montante tivesse sido destinado ao fomento de esportes nas 69 universidades federais, cada universidade teria recebido cerca de 340 mil reais por ano, ao longo de 6 anos, o que teria resultado em um investimento acumulado no período da ordem aproximada de 2 milhões de reais para cada universidade. O Estado brasileiro, portanto, tem financiado de forma continuada e estável o funcionamento de uma entidade privada consolidada, como é a CBDU, ao mesmo tempo em que não provê recursos específicos para a estruturação e manutenção de programas esportivos nas universidades federais, instituições públicas sob sua própria administração, que atendem a mais de 1 milhão de estudantes (cf. BRASIL, 2024a) e onde de fato se materializa em grande medida o esporte universitário. Desta forma, temos competições com altíssimo nível de estrutura e organização, por um lado, e universidades carentes de insumos básicos, por outro.</w:t>
      </w:r>
    </w:p>
    <w:p w:rsidR="00E8006B" w:rsidRDefault="009B70C8">
      <w:pPr>
        <w:spacing w:line="360" w:lineRule="auto"/>
        <w:ind w:firstLine="709"/>
        <w:jc w:val="both"/>
        <w:rPr>
          <w:sz w:val="22"/>
          <w:szCs w:val="22"/>
        </w:rPr>
      </w:pPr>
      <w:r>
        <w:rPr>
          <w:sz w:val="22"/>
          <w:szCs w:val="22"/>
        </w:rPr>
        <w:t xml:space="preserve">A esse quadro se soma uma segunda frente de incerteza. Em 2024, a Lei nº 14.914 transformou o Programa Nacional de Assistência Estudantil (PNAES) em uma política nacional e alterou certos aspectos do seu funcionamento (cf. BRASIL, 2024b). Agora, ações como apoio a equipes esportivas, festivais internos ou projetos de promoção da atividade física, que antes acessavam ou podiam acessar os recursos do PNAES, deixam de ter amparo normativo claro dentro deste Programa, cujos recursos ficam restritos a benefícios diretos, como concessão de bolsas e auxílios. As consequências dessa mudança para a gestão do esporte nas universidades ainda não estão claras. Todavia, já antes da nova lei, pesquisas apontavam que muitas universidades federais evitavam utilizar recursos do PNAES para ações esportivas por receio de </w:t>
      </w:r>
      <w:r>
        <w:rPr>
          <w:sz w:val="22"/>
          <w:szCs w:val="22"/>
        </w:rPr>
        <w:lastRenderedPageBreak/>
        <w:t>questionamentos por parte dos órgãos de controle (FERREIRA; CINTRA, 2023). Como um efeito colateral não intencional dessas mudanças legislativas, portanto, parece haver agora um desincentivo adicional ao uso de recursos do PNAES para ações esportivas, o que é especialmente preocupante diante da considerável proporção de instituições que têm nesses recursos a sua principal fonte de financiamento para ações de esporte, conforme veremos mais adiante.</w:t>
      </w:r>
    </w:p>
    <w:p w:rsidR="00E8006B" w:rsidRDefault="009B70C8">
      <w:pPr>
        <w:spacing w:line="360" w:lineRule="auto"/>
        <w:ind w:firstLine="709"/>
        <w:jc w:val="both"/>
        <w:rPr>
          <w:sz w:val="22"/>
          <w:szCs w:val="22"/>
        </w:rPr>
      </w:pPr>
      <w:r>
        <w:rPr>
          <w:sz w:val="22"/>
          <w:szCs w:val="22"/>
        </w:rPr>
        <w:t xml:space="preserve">O dilema entre a autonomia das entidades esportivas e a perene dependência dessas instituições com relação aos recursos públicos é uma constante da governança das políticas desse setor em vários países, conforme documenta a bibliografia especializada no assunto (HOULIHAN; WHITE, 2002; HOULIHAN, 1997; 2005; BERGSGARD </w:t>
      </w:r>
      <w:r>
        <w:rPr>
          <w:i/>
          <w:iCs/>
          <w:sz w:val="22"/>
          <w:szCs w:val="22"/>
        </w:rPr>
        <w:t>et al</w:t>
      </w:r>
      <w:r>
        <w:rPr>
          <w:sz w:val="22"/>
          <w:szCs w:val="22"/>
        </w:rPr>
        <w:t xml:space="preserve">, 2007; GREEN, 2006). Também no Brasil, no mesmo sentido, diversas pesquisas têm apontado para a contradição entre a frequente precariedade no provimento de serviços públicos nesse setor e a relativa benevolência estatal com relação a clubes, confederações e outras entidades privadas da administração esportiva, na forma de isenções tributárias, subvenções ou apoio financeiro direto (MARQUES </w:t>
      </w:r>
      <w:r>
        <w:rPr>
          <w:i/>
          <w:iCs/>
          <w:sz w:val="22"/>
          <w:szCs w:val="22"/>
        </w:rPr>
        <w:t>et al</w:t>
      </w:r>
      <w:r>
        <w:rPr>
          <w:sz w:val="22"/>
          <w:szCs w:val="22"/>
        </w:rPr>
        <w:t xml:space="preserve">, 2021; ALMEIDA </w:t>
      </w:r>
      <w:r>
        <w:rPr>
          <w:i/>
          <w:iCs/>
          <w:sz w:val="22"/>
          <w:szCs w:val="22"/>
        </w:rPr>
        <w:t>et al</w:t>
      </w:r>
      <w:r>
        <w:rPr>
          <w:sz w:val="22"/>
          <w:szCs w:val="22"/>
        </w:rPr>
        <w:t xml:space="preserve">; 2012; CAMARGO; PIGGIN; MEZZADRI, 2020; SANTOS, 2014; 2024; CARNEIRO; MASCARENHAS; ATHAYDE, 2019; CARNEIRO </w:t>
      </w:r>
      <w:r>
        <w:rPr>
          <w:i/>
          <w:iCs/>
          <w:sz w:val="22"/>
          <w:szCs w:val="22"/>
        </w:rPr>
        <w:t>et al</w:t>
      </w:r>
      <w:r>
        <w:rPr>
          <w:sz w:val="22"/>
          <w:szCs w:val="22"/>
        </w:rPr>
        <w:t>; 2020). E é justamente diante desse conjunto de tensões que se situa a pesquisa apresentada neste artigo. Nosso objetivo foi realizar um levantamento abrangente sobre o modo como acontece, ou às vezes não acontece, a gestão do esporte nas universidades federais brasileiras, investigando suas estruturas organizacionais, suas fontes de financiamento, sua infraestrutura e o engajamento da comunidade acadêmica. O quadro que emerge deste levantamento aponta para essa mesma economia política ambígua e contraditória da atuação estatal, que afeta o campo esportivo de um modo mais amplo e geral.</w:t>
      </w:r>
    </w:p>
    <w:p w:rsidR="00E8006B" w:rsidRDefault="00E8006B">
      <w:pPr>
        <w:spacing w:line="360" w:lineRule="auto"/>
        <w:rPr>
          <w:b/>
          <w:bCs/>
          <w:sz w:val="22"/>
          <w:szCs w:val="22"/>
        </w:rPr>
      </w:pPr>
    </w:p>
    <w:p w:rsidR="00E8006B" w:rsidRDefault="009B70C8">
      <w:pPr>
        <w:spacing w:line="360" w:lineRule="auto"/>
        <w:rPr>
          <w:sz w:val="22"/>
          <w:szCs w:val="22"/>
        </w:rPr>
      </w:pPr>
      <w:r>
        <w:rPr>
          <w:b/>
          <w:bCs/>
          <w:sz w:val="22"/>
          <w:szCs w:val="22"/>
        </w:rPr>
        <w:t>2 - METODOLOGIA</w:t>
      </w:r>
    </w:p>
    <w:p w:rsidR="00E8006B" w:rsidRDefault="00E8006B">
      <w:pPr>
        <w:spacing w:line="360" w:lineRule="auto"/>
        <w:jc w:val="both"/>
        <w:rPr>
          <w:sz w:val="22"/>
          <w:szCs w:val="22"/>
        </w:rPr>
      </w:pPr>
    </w:p>
    <w:p w:rsidR="00E8006B" w:rsidRDefault="009B70C8">
      <w:pPr>
        <w:spacing w:line="360" w:lineRule="auto"/>
        <w:ind w:firstLine="709"/>
        <w:jc w:val="both"/>
        <w:rPr>
          <w:rFonts w:eastAsia="Aptos"/>
          <w:sz w:val="22"/>
          <w:szCs w:val="22"/>
        </w:rPr>
      </w:pPr>
      <w:r>
        <w:rPr>
          <w:sz w:val="22"/>
          <w:szCs w:val="22"/>
        </w:rPr>
        <w:t xml:space="preserve">Este é um estudo exploratório e quantitativo de corte transversal. O instrumento de coleta de dados adotado foi um questionário online, enviado para indivíduos envolvidos com a gestão do esporte em todas as 69 universidades federais do país. </w:t>
      </w:r>
      <w:r>
        <w:rPr>
          <w:rFonts w:eastAsia="Aptos"/>
          <w:sz w:val="22"/>
          <w:szCs w:val="22"/>
        </w:rPr>
        <w:t>Basicamente, o questionário perguntava sobre os modelos de gestão adotados, a existência ou não de setores dedicados ao esporte, sua subordinação na estrutura administrativa das universidades, a disponibilidade de recursos humanos, as fontes e os montantes de recursos financeiros destinados ao esporte, se é prática ou não o lançamento de editais para concessão de auxílios, além de informações sobre a participação estudantil, indagando sobre o número de associações atléticas atuantes e a participação em competições.</w:t>
      </w:r>
    </w:p>
    <w:p w:rsidR="00E8006B" w:rsidRDefault="009B70C8">
      <w:pPr>
        <w:spacing w:line="360" w:lineRule="auto"/>
        <w:ind w:firstLine="709"/>
        <w:jc w:val="both"/>
        <w:rPr>
          <w:sz w:val="22"/>
          <w:szCs w:val="22"/>
        </w:rPr>
      </w:pPr>
      <w:r>
        <w:rPr>
          <w:sz w:val="22"/>
          <w:szCs w:val="22"/>
        </w:rPr>
        <w:t>O período de coleta se estendeu de junho a setembro de 2025. Ao final, foram obtidas 54 respostas válidas, de instituições localizadas em 23 das 27 unidades federativas do Brasil, o que confere considerável cobertura geográfica a este estudo (Figura 1). Apenas universidades de Alagoas, Amapá, Espírito Santo e Tocantins não foram contempladas</w:t>
      </w:r>
    </w:p>
    <w:p w:rsidR="00E8006B" w:rsidRDefault="00E8006B">
      <w:pPr>
        <w:spacing w:line="360" w:lineRule="auto"/>
        <w:ind w:firstLine="709"/>
        <w:jc w:val="both"/>
        <w:rPr>
          <w:sz w:val="22"/>
          <w:szCs w:val="22"/>
        </w:rPr>
      </w:pPr>
    </w:p>
    <w:p w:rsidR="00E8006B" w:rsidRDefault="009B70C8">
      <w:pPr>
        <w:spacing w:line="360" w:lineRule="auto"/>
        <w:rPr>
          <w:sz w:val="22"/>
          <w:szCs w:val="22"/>
        </w:rPr>
      </w:pPr>
      <w:r>
        <w:rPr>
          <w:noProof/>
        </w:rPr>
        <w:lastRenderedPageBreak/>
        <w:drawing>
          <wp:inline distT="0" distB="0" distL="0" distR="0">
            <wp:extent cx="5367020" cy="301053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9"/>
                    <a:stretch>
                      <a:fillRect/>
                    </a:stretch>
                  </pic:blipFill>
                  <pic:spPr bwMode="auto">
                    <a:xfrm>
                      <a:off x="0" y="0"/>
                      <a:ext cx="5367020" cy="3010535"/>
                    </a:xfrm>
                    <a:prstGeom prst="rect">
                      <a:avLst/>
                    </a:prstGeom>
                    <a:noFill/>
                  </pic:spPr>
                </pic:pic>
              </a:graphicData>
            </a:graphic>
          </wp:inline>
        </w:drawing>
      </w:r>
    </w:p>
    <w:p w:rsidR="00E8006B" w:rsidRDefault="009B70C8">
      <w:pPr>
        <w:spacing w:line="360" w:lineRule="auto"/>
        <w:jc w:val="center"/>
        <w:rPr>
          <w:sz w:val="20"/>
          <w:szCs w:val="20"/>
        </w:rPr>
      </w:pPr>
      <w:r>
        <w:rPr>
          <w:b/>
          <w:bCs/>
          <w:sz w:val="20"/>
          <w:szCs w:val="20"/>
        </w:rPr>
        <w:t>Figura 1 – Universidades federais contempladas no estudo, considerando número total de alunos matriculados - Fonte para número de alunos matriculados (BRASIL, 2024b). Elaboração dos autores.</w:t>
      </w:r>
    </w:p>
    <w:p w:rsidR="00E8006B" w:rsidRDefault="00E8006B">
      <w:pPr>
        <w:spacing w:line="360" w:lineRule="auto"/>
        <w:jc w:val="both"/>
        <w:rPr>
          <w:sz w:val="22"/>
          <w:szCs w:val="22"/>
        </w:rPr>
      </w:pPr>
    </w:p>
    <w:p w:rsidR="00E8006B" w:rsidRDefault="009B70C8">
      <w:pPr>
        <w:spacing w:line="360" w:lineRule="auto"/>
        <w:ind w:firstLine="709"/>
        <w:jc w:val="both"/>
        <w:rPr>
          <w:sz w:val="22"/>
          <w:szCs w:val="22"/>
        </w:rPr>
      </w:pPr>
      <w:r>
        <w:rPr>
          <w:sz w:val="22"/>
          <w:szCs w:val="22"/>
        </w:rPr>
        <w:t>Em geral, os participantes da pesquisa são informantes qualificados em funções de gestão nas universidades participantes. O perfil predominante dos respondentes é de profissionais em funções de liderança, incluindo Pró-Reitores (de Assuntos Estudantis, Extensão e Cultura), diretores de centros esportivos e chefes de departamentos de esporte ou educação física. Além desse estrato gerencial, a amostra de respondentes contou também com a colaboração de docentes, técnicos desportivos e, em um caso específico, de um estudante envolvido na direção de uma associação atlética. Essa heterogeneidade de funções agrega diversidade aos pontos de vistas refletidos nos dados do questionário, embora imponha também limitações à sua confiabilidade. A rigor, não é possível assegurar, por exemplo, que um estudante, por mais engajado que seja com os temas relativos aos esportes, esteja devidamente inteirado das informações administrativas mais relevantes da universidade a esse respeito.</w:t>
      </w:r>
    </w:p>
    <w:p w:rsidR="00E8006B" w:rsidRDefault="009B70C8">
      <w:pPr>
        <w:spacing w:line="360" w:lineRule="auto"/>
        <w:ind w:firstLine="709"/>
        <w:jc w:val="both"/>
        <w:rPr>
          <w:sz w:val="22"/>
          <w:szCs w:val="22"/>
        </w:rPr>
      </w:pPr>
      <w:r>
        <w:rPr>
          <w:sz w:val="22"/>
          <w:szCs w:val="22"/>
        </w:rPr>
        <w:t xml:space="preserve">A análise dos dados tabulou e processou as informações obtidas por meio dos questionários, a fim de gerar estatísticas descritivas. Os dados foram organizados em frequências absolutas e relativas para as variáveis categóricas e em medidas de tendência central (médias e medianas) para as variáveis ordinais, como faixas de orçamento destinado ao esporte, número de associações atléticas atuantes ou avaliações de infraestrutura. Dado o caráter exploratório do estudo e a natureza heterogênea das variáveis, que combinam categorias nominais, categorias com ordenação implícita e faixas estimadas, optou-se por restringir a análise ao plano descritivo, sem o recurso a testes de significância estatística. A esse respeito, vale lembrar que é frequente que a análise de políticas e gestão do esporte, muitas vezes empreendidas por meio de </w:t>
      </w:r>
      <w:proofErr w:type="spellStart"/>
      <w:r>
        <w:rPr>
          <w:i/>
          <w:iCs/>
          <w:sz w:val="22"/>
          <w:szCs w:val="22"/>
        </w:rPr>
        <w:t>surveys</w:t>
      </w:r>
      <w:proofErr w:type="spellEnd"/>
      <w:r>
        <w:rPr>
          <w:sz w:val="22"/>
          <w:szCs w:val="22"/>
        </w:rPr>
        <w:t xml:space="preserve"> de cobertura nacional com amostras pequenas, como foi nesta pesquisa, se realize de forma predominantemente descritiva, pois, nesses casos, os pressupostos dos testes inferenciais raramente são satisfeitos. Análises de políticas esportivas, porém, podem e devem priorizar a qualidade da evidência descritiva sobre a sofisticação matemática dos testes estatísticos, especialmente quando os dados e as amostras forem de natureza não probabilísticas, como é o caso dos dados desta pesquisa. Além disso, considerando a natureza desses dados, essa opção metodológica também </w:t>
      </w:r>
      <w:r>
        <w:rPr>
          <w:sz w:val="22"/>
          <w:szCs w:val="22"/>
        </w:rPr>
        <w:lastRenderedPageBreak/>
        <w:t xml:space="preserve">é coerente uma vez que as 54 universidades que participaram do estudo representam a quase totalidade do universo investigado, não uma amostra aleatória a partir da qual se buscaria inferir parâmetros populacionais. </w:t>
      </w:r>
    </w:p>
    <w:p w:rsidR="00E8006B" w:rsidRDefault="00E8006B">
      <w:pPr>
        <w:spacing w:line="360" w:lineRule="auto"/>
        <w:rPr>
          <w:b/>
          <w:bCs/>
          <w:sz w:val="22"/>
          <w:szCs w:val="22"/>
        </w:rPr>
      </w:pPr>
    </w:p>
    <w:p w:rsidR="00E8006B" w:rsidRDefault="009B70C8">
      <w:pPr>
        <w:spacing w:line="360" w:lineRule="auto"/>
        <w:rPr>
          <w:sz w:val="22"/>
          <w:szCs w:val="22"/>
        </w:rPr>
      </w:pPr>
      <w:r>
        <w:rPr>
          <w:b/>
          <w:bCs/>
          <w:sz w:val="22"/>
          <w:szCs w:val="22"/>
        </w:rPr>
        <w:t>3 - ESTRUTURA ORGANIZACIONAL</w:t>
      </w:r>
    </w:p>
    <w:p w:rsidR="00E8006B" w:rsidRDefault="00E8006B">
      <w:pPr>
        <w:spacing w:line="360" w:lineRule="auto"/>
        <w:jc w:val="both"/>
        <w:rPr>
          <w:sz w:val="22"/>
          <w:szCs w:val="22"/>
        </w:rPr>
      </w:pPr>
    </w:p>
    <w:p w:rsidR="00E8006B" w:rsidRDefault="009B70C8">
      <w:pPr>
        <w:spacing w:line="360" w:lineRule="auto"/>
        <w:ind w:firstLine="709"/>
        <w:jc w:val="both"/>
        <w:rPr>
          <w:sz w:val="22"/>
          <w:szCs w:val="22"/>
        </w:rPr>
      </w:pPr>
      <w:r>
        <w:rPr>
          <w:sz w:val="22"/>
          <w:szCs w:val="22"/>
        </w:rPr>
        <w:t xml:space="preserve">A existência de um setor para a gestão do esporte e sua localização na estrutura administrativa da universidade são indicadores do grau de institucionalização do assunto em cada instituição. A pesquisa revelou que 76% das universidades federais (n = 41) possuem um setor dedicado ao esporte, o que implica que 24% (n = 13), por outro lado, não </w:t>
      </w:r>
      <w:proofErr w:type="spellStart"/>
      <w:r>
        <w:rPr>
          <w:sz w:val="22"/>
          <w:szCs w:val="22"/>
        </w:rPr>
        <w:t>o</w:t>
      </w:r>
      <w:proofErr w:type="spellEnd"/>
      <w:r>
        <w:rPr>
          <w:sz w:val="22"/>
          <w:szCs w:val="22"/>
        </w:rPr>
        <w:t xml:space="preserve"> possuem. Nesses últimos casos, ações relativas à gestão do esporte geralmente são realizadas de forma eventual e dispersa por diversos setores, como os departamentos ou faculdades de educação física, centros acadêmicos ou alguma das </w:t>
      </w:r>
      <w:proofErr w:type="spellStart"/>
      <w:r>
        <w:rPr>
          <w:sz w:val="22"/>
          <w:szCs w:val="22"/>
        </w:rPr>
        <w:t>Pró-Reitorias</w:t>
      </w:r>
      <w:proofErr w:type="spellEnd"/>
      <w:r>
        <w:rPr>
          <w:sz w:val="22"/>
          <w:szCs w:val="22"/>
        </w:rPr>
        <w:t>.</w:t>
      </w:r>
    </w:p>
    <w:p w:rsidR="00E8006B" w:rsidRDefault="009B70C8">
      <w:pPr>
        <w:spacing w:line="360" w:lineRule="auto"/>
        <w:ind w:firstLine="709"/>
        <w:jc w:val="both"/>
        <w:rPr>
          <w:sz w:val="22"/>
          <w:szCs w:val="22"/>
        </w:rPr>
      </w:pPr>
      <w:r>
        <w:rPr>
          <w:sz w:val="22"/>
          <w:szCs w:val="22"/>
        </w:rPr>
        <w:t xml:space="preserve">Dentre as universidades que possuem uma estrutura institucional destinada à gestão do esporte, a </w:t>
      </w:r>
      <w:proofErr w:type="spellStart"/>
      <w:r>
        <w:rPr>
          <w:sz w:val="22"/>
          <w:szCs w:val="22"/>
        </w:rPr>
        <w:t>Pró-Reitoria</w:t>
      </w:r>
      <w:proofErr w:type="spellEnd"/>
      <w:r>
        <w:rPr>
          <w:sz w:val="22"/>
          <w:szCs w:val="22"/>
        </w:rPr>
        <w:t xml:space="preserve"> de Assistência Estudantil é a localização mais comum, arranjo adotado por 44% dessas instituições (n = 18). Em seguida aparecem as </w:t>
      </w:r>
      <w:proofErr w:type="spellStart"/>
      <w:r>
        <w:rPr>
          <w:sz w:val="22"/>
          <w:szCs w:val="22"/>
        </w:rPr>
        <w:t>Pró-Reitorias</w:t>
      </w:r>
      <w:proofErr w:type="spellEnd"/>
      <w:r>
        <w:rPr>
          <w:sz w:val="22"/>
          <w:szCs w:val="22"/>
        </w:rPr>
        <w:t xml:space="preserve"> de Extensão, local institucional adotado para a gestão do esporte em 22% das universidades (n = 9). O Gabinete da Reitoria (12%, n = 5), Órgãos Suplementares ou Complementares (5%, n = 2) e </w:t>
      </w:r>
      <w:proofErr w:type="spellStart"/>
      <w:r>
        <w:rPr>
          <w:sz w:val="22"/>
          <w:szCs w:val="22"/>
        </w:rPr>
        <w:t>Pró-Reitorias</w:t>
      </w:r>
      <w:proofErr w:type="spellEnd"/>
      <w:r>
        <w:rPr>
          <w:sz w:val="22"/>
          <w:szCs w:val="22"/>
        </w:rPr>
        <w:t xml:space="preserve"> ou Decanatos de Assuntos Comunitários (5%, n = 2) aparecem em seguida, conforme Gráfico 1.</w:t>
      </w:r>
    </w:p>
    <w:p w:rsidR="00E8006B" w:rsidRDefault="00E8006B">
      <w:pPr>
        <w:spacing w:line="360" w:lineRule="auto"/>
        <w:ind w:firstLine="851"/>
        <w:jc w:val="both"/>
        <w:rPr>
          <w:b/>
          <w:bCs/>
          <w:sz w:val="22"/>
          <w:szCs w:val="22"/>
        </w:rPr>
      </w:pPr>
    </w:p>
    <w:p w:rsidR="00E8006B" w:rsidRDefault="009B70C8">
      <w:pPr>
        <w:spacing w:line="360" w:lineRule="auto"/>
        <w:jc w:val="center"/>
        <w:rPr>
          <w:sz w:val="22"/>
          <w:szCs w:val="22"/>
        </w:rPr>
      </w:pPr>
      <w:r>
        <w:rPr>
          <w:noProof/>
        </w:rPr>
        <w:drawing>
          <wp:inline distT="0" distB="0" distL="0" distR="0">
            <wp:extent cx="4987290" cy="2909570"/>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E8006B" w:rsidRDefault="009B70C8">
      <w:pPr>
        <w:spacing w:line="360" w:lineRule="auto"/>
        <w:jc w:val="center"/>
        <w:rPr>
          <w:sz w:val="20"/>
          <w:szCs w:val="20"/>
        </w:rPr>
      </w:pPr>
      <w:r>
        <w:rPr>
          <w:b/>
          <w:bCs/>
          <w:sz w:val="20"/>
          <w:szCs w:val="20"/>
        </w:rPr>
        <w:t>Gráfico 1 – Local institucional da gestão do esporte nas universidades</w:t>
      </w:r>
    </w:p>
    <w:p w:rsidR="00E8006B" w:rsidRDefault="00E8006B">
      <w:pPr>
        <w:spacing w:line="360" w:lineRule="auto"/>
        <w:ind w:firstLine="851"/>
        <w:jc w:val="both"/>
        <w:rPr>
          <w:sz w:val="22"/>
          <w:szCs w:val="22"/>
        </w:rPr>
      </w:pPr>
    </w:p>
    <w:p w:rsidR="00E8006B" w:rsidRDefault="009B70C8">
      <w:pPr>
        <w:spacing w:line="360" w:lineRule="auto"/>
        <w:ind w:firstLine="709"/>
        <w:jc w:val="both"/>
        <w:rPr>
          <w:sz w:val="22"/>
          <w:szCs w:val="22"/>
        </w:rPr>
      </w:pPr>
      <w:r>
        <w:rPr>
          <w:sz w:val="22"/>
          <w:szCs w:val="22"/>
        </w:rPr>
        <w:t xml:space="preserve">A predominância da </w:t>
      </w:r>
      <w:proofErr w:type="spellStart"/>
      <w:r>
        <w:rPr>
          <w:sz w:val="22"/>
          <w:szCs w:val="22"/>
        </w:rPr>
        <w:t>Pró-Reitoria</w:t>
      </w:r>
      <w:proofErr w:type="spellEnd"/>
      <w:r>
        <w:rPr>
          <w:sz w:val="22"/>
          <w:szCs w:val="22"/>
        </w:rPr>
        <w:t xml:space="preserve"> de Assistência Estudantil como lugar institucional privilegiado para a organização da gestão esportiva é um dado significativo. Ele sugere, implicitamente, que em boa parte das universidades federais o esporte é concebido como parte da política de assistência estudantil, como já discutido por Vieira e Athayde (2023). Além disso, conforme veremos com mais detalhes na próxima seção, esse dado também amplifica as consequências potenciais das mudanças no PNAES sobre a prática de esportes nas </w:t>
      </w:r>
      <w:r>
        <w:rPr>
          <w:sz w:val="22"/>
          <w:szCs w:val="22"/>
        </w:rPr>
        <w:lastRenderedPageBreak/>
        <w:t xml:space="preserve">universidades federais, dado que significativa parte delas tem nos recursos deste programa a principal fonte de receita para suas ações esportivas. </w:t>
      </w:r>
    </w:p>
    <w:p w:rsidR="00E8006B" w:rsidRDefault="009B70C8">
      <w:pPr>
        <w:spacing w:line="360" w:lineRule="auto"/>
        <w:ind w:firstLine="709"/>
        <w:jc w:val="both"/>
        <w:rPr>
          <w:sz w:val="22"/>
          <w:szCs w:val="22"/>
        </w:rPr>
      </w:pPr>
      <w:r>
        <w:rPr>
          <w:sz w:val="22"/>
          <w:szCs w:val="22"/>
        </w:rPr>
        <w:t xml:space="preserve">Com efeito, quando analisamos os orçamentos à luz da estrutura institucional disponível ou não para a gestão do esporte universitário, nota-se um padrão consistente. Entre as 13 universidades que não possuem um setor dedicado à gestão esportiva, 23% não possuem orçamento algum para o esporte e impressionantes 46% não souberam sequer informar o montante disponível. Em conjunto, portanto, quase 70% das universidades sem setor dedicado não têm orçamento ou não puderam informá-lo, o que parece um indicador preocupante sobre a precariedade da situação da gestão esportiva nessas instituições. Enquanto isso, entre as universidades que possuem estrutura institucional (n = 41), 5% não possuem orçamento (n = 2) e 15% não souberam informar (n = 6), proporções bastante menores do que aquelas encontradas entre as universidades que não dispõem desta estrutura institucional (ver Gráfico 2). </w:t>
      </w:r>
    </w:p>
    <w:p w:rsidR="00E8006B" w:rsidRDefault="00E8006B">
      <w:pPr>
        <w:spacing w:line="360" w:lineRule="auto"/>
        <w:jc w:val="both"/>
        <w:rPr>
          <w:sz w:val="22"/>
          <w:szCs w:val="22"/>
        </w:rPr>
      </w:pPr>
    </w:p>
    <w:p w:rsidR="00E8006B" w:rsidRDefault="00E8006B">
      <w:pPr>
        <w:spacing w:line="360" w:lineRule="auto"/>
        <w:jc w:val="center"/>
        <w:rPr>
          <w:b/>
          <w:bCs/>
          <w:sz w:val="22"/>
          <w:szCs w:val="22"/>
        </w:rPr>
      </w:pPr>
    </w:p>
    <w:p w:rsidR="00E8006B" w:rsidRDefault="009B70C8">
      <w:pPr>
        <w:spacing w:line="360" w:lineRule="auto"/>
        <w:jc w:val="center"/>
        <w:rPr>
          <w:b/>
          <w:bCs/>
          <w:sz w:val="20"/>
          <w:szCs w:val="20"/>
        </w:rPr>
      </w:pPr>
      <w:r>
        <w:rPr>
          <w:noProof/>
        </w:rPr>
        <w:drawing>
          <wp:inline distT="0" distB="0" distL="0" distR="0">
            <wp:extent cx="4953000" cy="2889250"/>
            <wp:effectExtent l="0" t="0" r="0" b="0"/>
            <wp:docPr id="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8006B" w:rsidRDefault="009B70C8">
      <w:pPr>
        <w:spacing w:line="360" w:lineRule="auto"/>
        <w:jc w:val="center"/>
        <w:rPr>
          <w:b/>
          <w:bCs/>
          <w:sz w:val="20"/>
          <w:szCs w:val="20"/>
        </w:rPr>
      </w:pPr>
      <w:r>
        <w:rPr>
          <w:b/>
          <w:bCs/>
          <w:sz w:val="20"/>
          <w:szCs w:val="20"/>
        </w:rPr>
        <w:t>Gráfico 2 – Percentual de universidades que não sabem ou não têm orçamento para esportes, de acordo com existência ou não de setor dedicado à gestão do esporte</w:t>
      </w:r>
    </w:p>
    <w:p w:rsidR="00E8006B" w:rsidRDefault="00E8006B">
      <w:pPr>
        <w:spacing w:line="360" w:lineRule="auto"/>
        <w:ind w:firstLine="708"/>
        <w:jc w:val="both"/>
        <w:rPr>
          <w:sz w:val="22"/>
          <w:szCs w:val="22"/>
        </w:rPr>
      </w:pPr>
    </w:p>
    <w:p w:rsidR="00E8006B" w:rsidRDefault="009B70C8">
      <w:pPr>
        <w:spacing w:line="360" w:lineRule="auto"/>
        <w:ind w:firstLine="708"/>
        <w:jc w:val="both"/>
        <w:rPr>
          <w:sz w:val="22"/>
          <w:szCs w:val="22"/>
        </w:rPr>
      </w:pPr>
      <w:r>
        <w:rPr>
          <w:sz w:val="22"/>
          <w:szCs w:val="22"/>
        </w:rPr>
        <w:t xml:space="preserve">Há também um interessante padrão não-linear entre a existência ou não de uma estrutura institucional dedicada à gestão do esporte universitário e o tamanho das respectivas instituições, medido pelo número de estudantes matriculados em cursos de graduação. De modo geral, as universidades que não dispõem de um setor dedicado à gestão do esporte tendem a ser menores. A mediana do número de alunos das universidades que não dispõem de um setor dedicado à gestão do esporte é 11.400. Já nas universidades que dispõem desses setores, essa mediana é de 15.900. Todavia, essa tendência geral não é regular, como se vê na Tabela 1. </w:t>
      </w:r>
    </w:p>
    <w:p w:rsidR="00E8006B" w:rsidRDefault="00E8006B">
      <w:pPr>
        <w:spacing w:line="360" w:lineRule="auto"/>
        <w:jc w:val="both"/>
        <w:rPr>
          <w:sz w:val="22"/>
          <w:szCs w:val="22"/>
        </w:rPr>
      </w:pPr>
    </w:p>
    <w:tbl>
      <w:tblPr>
        <w:tblStyle w:val="Tabelacomgrade"/>
        <w:tblW w:w="8364" w:type="dxa"/>
        <w:jc w:val="center"/>
        <w:tblLayout w:type="fixed"/>
        <w:tblLook w:val="04A0" w:firstRow="1" w:lastRow="0" w:firstColumn="1" w:lastColumn="0" w:noHBand="0" w:noVBand="1"/>
      </w:tblPr>
      <w:tblGrid>
        <w:gridCol w:w="894"/>
        <w:gridCol w:w="3778"/>
        <w:gridCol w:w="849"/>
        <w:gridCol w:w="1283"/>
        <w:gridCol w:w="1560"/>
      </w:tblGrid>
      <w:tr w:rsidR="00E8006B">
        <w:trPr>
          <w:jc w:val="center"/>
        </w:trPr>
        <w:tc>
          <w:tcPr>
            <w:tcW w:w="894" w:type="dxa"/>
            <w:tcBorders>
              <w:top w:val="nil"/>
              <w:left w:val="nil"/>
            </w:tcBorders>
          </w:tcPr>
          <w:p w:rsidR="00E8006B" w:rsidRDefault="009B70C8">
            <w:pPr>
              <w:spacing w:line="360" w:lineRule="auto"/>
              <w:jc w:val="center"/>
              <w:rPr>
                <w:sz w:val="22"/>
                <w:szCs w:val="22"/>
              </w:rPr>
            </w:pPr>
            <w:r>
              <w:rPr>
                <w:sz w:val="22"/>
                <w:szCs w:val="22"/>
              </w:rPr>
              <w:t>Tercis</w:t>
            </w:r>
          </w:p>
        </w:tc>
        <w:tc>
          <w:tcPr>
            <w:tcW w:w="3778" w:type="dxa"/>
            <w:tcBorders>
              <w:top w:val="nil"/>
            </w:tcBorders>
          </w:tcPr>
          <w:p w:rsidR="00E8006B" w:rsidRDefault="009B70C8">
            <w:pPr>
              <w:spacing w:line="360" w:lineRule="auto"/>
              <w:jc w:val="center"/>
              <w:rPr>
                <w:sz w:val="22"/>
                <w:szCs w:val="22"/>
              </w:rPr>
            </w:pPr>
            <w:r>
              <w:rPr>
                <w:sz w:val="22"/>
                <w:szCs w:val="22"/>
              </w:rPr>
              <w:t>Porte / Número de alunos</w:t>
            </w:r>
          </w:p>
        </w:tc>
        <w:tc>
          <w:tcPr>
            <w:tcW w:w="849" w:type="dxa"/>
            <w:tcBorders>
              <w:top w:val="nil"/>
            </w:tcBorders>
          </w:tcPr>
          <w:p w:rsidR="00E8006B" w:rsidRDefault="009B70C8">
            <w:pPr>
              <w:spacing w:line="360" w:lineRule="auto"/>
              <w:jc w:val="center"/>
              <w:rPr>
                <w:sz w:val="22"/>
                <w:szCs w:val="22"/>
              </w:rPr>
            </w:pPr>
            <w:r>
              <w:rPr>
                <w:sz w:val="22"/>
                <w:szCs w:val="22"/>
              </w:rPr>
              <w:t>N</w:t>
            </w:r>
          </w:p>
        </w:tc>
        <w:tc>
          <w:tcPr>
            <w:tcW w:w="1283" w:type="dxa"/>
            <w:tcBorders>
              <w:top w:val="nil"/>
            </w:tcBorders>
          </w:tcPr>
          <w:p w:rsidR="00E8006B" w:rsidRDefault="009B70C8">
            <w:pPr>
              <w:spacing w:line="360" w:lineRule="auto"/>
              <w:jc w:val="center"/>
              <w:rPr>
                <w:sz w:val="22"/>
                <w:szCs w:val="22"/>
              </w:rPr>
            </w:pPr>
            <w:r>
              <w:rPr>
                <w:sz w:val="22"/>
                <w:szCs w:val="22"/>
              </w:rPr>
              <w:t>Com setor</w:t>
            </w:r>
          </w:p>
        </w:tc>
        <w:tc>
          <w:tcPr>
            <w:tcW w:w="1560" w:type="dxa"/>
            <w:tcBorders>
              <w:top w:val="nil"/>
              <w:right w:val="nil"/>
            </w:tcBorders>
          </w:tcPr>
          <w:p w:rsidR="00E8006B" w:rsidRDefault="009B70C8">
            <w:pPr>
              <w:spacing w:line="360" w:lineRule="auto"/>
              <w:jc w:val="center"/>
              <w:rPr>
                <w:sz w:val="22"/>
                <w:szCs w:val="22"/>
              </w:rPr>
            </w:pPr>
            <w:r>
              <w:rPr>
                <w:sz w:val="22"/>
                <w:szCs w:val="22"/>
              </w:rPr>
              <w:t>Sem setor</w:t>
            </w:r>
          </w:p>
        </w:tc>
      </w:tr>
      <w:tr w:rsidR="00E8006B">
        <w:trPr>
          <w:jc w:val="center"/>
        </w:trPr>
        <w:tc>
          <w:tcPr>
            <w:tcW w:w="894" w:type="dxa"/>
            <w:tcBorders>
              <w:left w:val="nil"/>
              <w:bottom w:val="nil"/>
            </w:tcBorders>
          </w:tcPr>
          <w:p w:rsidR="00E8006B" w:rsidRDefault="009B70C8">
            <w:pPr>
              <w:spacing w:line="360" w:lineRule="auto"/>
              <w:jc w:val="center"/>
              <w:rPr>
                <w:sz w:val="22"/>
                <w:szCs w:val="22"/>
              </w:rPr>
            </w:pPr>
            <w:r>
              <w:rPr>
                <w:sz w:val="22"/>
                <w:szCs w:val="22"/>
              </w:rPr>
              <w:t>1</w:t>
            </w:r>
          </w:p>
        </w:tc>
        <w:tc>
          <w:tcPr>
            <w:tcW w:w="3778" w:type="dxa"/>
            <w:tcBorders>
              <w:bottom w:val="nil"/>
            </w:tcBorders>
          </w:tcPr>
          <w:p w:rsidR="00E8006B" w:rsidRDefault="009B70C8">
            <w:pPr>
              <w:spacing w:line="360" w:lineRule="auto"/>
              <w:jc w:val="center"/>
              <w:rPr>
                <w:sz w:val="22"/>
                <w:szCs w:val="22"/>
              </w:rPr>
            </w:pPr>
            <w:r>
              <w:rPr>
                <w:sz w:val="22"/>
                <w:szCs w:val="22"/>
              </w:rPr>
              <w:t>Pequena (3.100-9.200)</w:t>
            </w:r>
          </w:p>
        </w:tc>
        <w:tc>
          <w:tcPr>
            <w:tcW w:w="849" w:type="dxa"/>
            <w:tcBorders>
              <w:bottom w:val="nil"/>
            </w:tcBorders>
          </w:tcPr>
          <w:p w:rsidR="00E8006B" w:rsidRDefault="009B70C8">
            <w:pPr>
              <w:spacing w:line="360" w:lineRule="auto"/>
              <w:jc w:val="center"/>
              <w:rPr>
                <w:sz w:val="22"/>
                <w:szCs w:val="22"/>
              </w:rPr>
            </w:pPr>
            <w:r>
              <w:rPr>
                <w:sz w:val="22"/>
                <w:szCs w:val="22"/>
              </w:rPr>
              <w:t>18</w:t>
            </w:r>
          </w:p>
        </w:tc>
        <w:tc>
          <w:tcPr>
            <w:tcW w:w="1283" w:type="dxa"/>
            <w:tcBorders>
              <w:bottom w:val="nil"/>
            </w:tcBorders>
          </w:tcPr>
          <w:p w:rsidR="00E8006B" w:rsidRDefault="009B70C8">
            <w:pPr>
              <w:spacing w:line="360" w:lineRule="auto"/>
              <w:jc w:val="center"/>
              <w:rPr>
                <w:sz w:val="22"/>
                <w:szCs w:val="22"/>
              </w:rPr>
            </w:pPr>
            <w:r>
              <w:rPr>
                <w:sz w:val="22"/>
                <w:szCs w:val="22"/>
              </w:rPr>
              <w:t>15 (83%)</w:t>
            </w:r>
          </w:p>
        </w:tc>
        <w:tc>
          <w:tcPr>
            <w:tcW w:w="1560" w:type="dxa"/>
            <w:tcBorders>
              <w:bottom w:val="nil"/>
              <w:right w:val="nil"/>
            </w:tcBorders>
          </w:tcPr>
          <w:p w:rsidR="00E8006B" w:rsidRDefault="009B70C8">
            <w:pPr>
              <w:spacing w:line="360" w:lineRule="auto"/>
              <w:jc w:val="center"/>
              <w:rPr>
                <w:sz w:val="22"/>
                <w:szCs w:val="22"/>
              </w:rPr>
            </w:pPr>
            <w:r>
              <w:rPr>
                <w:sz w:val="22"/>
                <w:szCs w:val="22"/>
              </w:rPr>
              <w:t>3 (17%)</w:t>
            </w:r>
          </w:p>
        </w:tc>
      </w:tr>
      <w:tr w:rsidR="00E8006B">
        <w:trPr>
          <w:jc w:val="center"/>
        </w:trPr>
        <w:tc>
          <w:tcPr>
            <w:tcW w:w="894" w:type="dxa"/>
            <w:tcBorders>
              <w:top w:val="nil"/>
              <w:left w:val="nil"/>
              <w:bottom w:val="nil"/>
            </w:tcBorders>
          </w:tcPr>
          <w:p w:rsidR="00E8006B" w:rsidRDefault="009B70C8">
            <w:pPr>
              <w:spacing w:line="360" w:lineRule="auto"/>
              <w:jc w:val="center"/>
              <w:rPr>
                <w:sz w:val="22"/>
                <w:szCs w:val="22"/>
              </w:rPr>
            </w:pPr>
            <w:r>
              <w:rPr>
                <w:sz w:val="22"/>
                <w:szCs w:val="22"/>
              </w:rPr>
              <w:t>2</w:t>
            </w:r>
          </w:p>
        </w:tc>
        <w:tc>
          <w:tcPr>
            <w:tcW w:w="3778" w:type="dxa"/>
            <w:tcBorders>
              <w:top w:val="nil"/>
              <w:bottom w:val="nil"/>
            </w:tcBorders>
          </w:tcPr>
          <w:p w:rsidR="00E8006B" w:rsidRDefault="009B70C8">
            <w:pPr>
              <w:spacing w:line="360" w:lineRule="auto"/>
              <w:jc w:val="center"/>
              <w:rPr>
                <w:sz w:val="22"/>
                <w:szCs w:val="22"/>
              </w:rPr>
            </w:pPr>
            <w:r>
              <w:rPr>
                <w:sz w:val="22"/>
                <w:szCs w:val="22"/>
              </w:rPr>
              <w:t>Média (10.200-21.300)</w:t>
            </w:r>
          </w:p>
        </w:tc>
        <w:tc>
          <w:tcPr>
            <w:tcW w:w="849" w:type="dxa"/>
            <w:tcBorders>
              <w:top w:val="nil"/>
              <w:bottom w:val="nil"/>
            </w:tcBorders>
          </w:tcPr>
          <w:p w:rsidR="00E8006B" w:rsidRDefault="009B70C8">
            <w:pPr>
              <w:spacing w:line="360" w:lineRule="auto"/>
              <w:jc w:val="center"/>
              <w:rPr>
                <w:sz w:val="22"/>
                <w:szCs w:val="22"/>
              </w:rPr>
            </w:pPr>
            <w:r>
              <w:rPr>
                <w:sz w:val="22"/>
                <w:szCs w:val="22"/>
              </w:rPr>
              <w:t>18</w:t>
            </w:r>
          </w:p>
        </w:tc>
        <w:tc>
          <w:tcPr>
            <w:tcW w:w="1283" w:type="dxa"/>
            <w:tcBorders>
              <w:top w:val="nil"/>
              <w:bottom w:val="nil"/>
            </w:tcBorders>
          </w:tcPr>
          <w:p w:rsidR="00E8006B" w:rsidRDefault="009B70C8">
            <w:pPr>
              <w:spacing w:line="360" w:lineRule="auto"/>
              <w:jc w:val="center"/>
              <w:rPr>
                <w:sz w:val="22"/>
                <w:szCs w:val="22"/>
              </w:rPr>
            </w:pPr>
            <w:r>
              <w:rPr>
                <w:sz w:val="22"/>
                <w:szCs w:val="22"/>
              </w:rPr>
              <w:t>9 (50%)</w:t>
            </w:r>
          </w:p>
        </w:tc>
        <w:tc>
          <w:tcPr>
            <w:tcW w:w="1560" w:type="dxa"/>
            <w:tcBorders>
              <w:top w:val="nil"/>
              <w:bottom w:val="nil"/>
              <w:right w:val="nil"/>
            </w:tcBorders>
          </w:tcPr>
          <w:p w:rsidR="00E8006B" w:rsidRDefault="009B70C8">
            <w:pPr>
              <w:spacing w:line="360" w:lineRule="auto"/>
              <w:jc w:val="center"/>
              <w:rPr>
                <w:sz w:val="22"/>
                <w:szCs w:val="22"/>
              </w:rPr>
            </w:pPr>
            <w:r>
              <w:rPr>
                <w:sz w:val="22"/>
                <w:szCs w:val="22"/>
              </w:rPr>
              <w:t>9 (50%)</w:t>
            </w:r>
          </w:p>
        </w:tc>
      </w:tr>
      <w:tr w:rsidR="00E8006B">
        <w:trPr>
          <w:jc w:val="center"/>
        </w:trPr>
        <w:tc>
          <w:tcPr>
            <w:tcW w:w="894" w:type="dxa"/>
            <w:tcBorders>
              <w:top w:val="nil"/>
              <w:left w:val="nil"/>
              <w:bottom w:val="nil"/>
            </w:tcBorders>
          </w:tcPr>
          <w:p w:rsidR="00E8006B" w:rsidRDefault="009B70C8">
            <w:pPr>
              <w:spacing w:line="360" w:lineRule="auto"/>
              <w:jc w:val="center"/>
              <w:rPr>
                <w:sz w:val="22"/>
                <w:szCs w:val="22"/>
              </w:rPr>
            </w:pPr>
            <w:r>
              <w:rPr>
                <w:sz w:val="22"/>
                <w:szCs w:val="22"/>
              </w:rPr>
              <w:lastRenderedPageBreak/>
              <w:t>3</w:t>
            </w:r>
          </w:p>
        </w:tc>
        <w:tc>
          <w:tcPr>
            <w:tcW w:w="3778" w:type="dxa"/>
            <w:tcBorders>
              <w:top w:val="nil"/>
              <w:bottom w:val="nil"/>
            </w:tcBorders>
          </w:tcPr>
          <w:p w:rsidR="00E8006B" w:rsidRDefault="009B70C8">
            <w:pPr>
              <w:spacing w:line="360" w:lineRule="auto"/>
              <w:jc w:val="center"/>
              <w:rPr>
                <w:sz w:val="22"/>
                <w:szCs w:val="22"/>
              </w:rPr>
            </w:pPr>
            <w:r>
              <w:rPr>
                <w:sz w:val="22"/>
                <w:szCs w:val="22"/>
              </w:rPr>
              <w:t>Grande (21.600-52.400)</w:t>
            </w:r>
          </w:p>
        </w:tc>
        <w:tc>
          <w:tcPr>
            <w:tcW w:w="849" w:type="dxa"/>
            <w:tcBorders>
              <w:top w:val="nil"/>
              <w:bottom w:val="nil"/>
            </w:tcBorders>
          </w:tcPr>
          <w:p w:rsidR="00E8006B" w:rsidRDefault="009B70C8">
            <w:pPr>
              <w:spacing w:line="360" w:lineRule="auto"/>
              <w:jc w:val="center"/>
              <w:rPr>
                <w:sz w:val="22"/>
                <w:szCs w:val="22"/>
              </w:rPr>
            </w:pPr>
            <w:r>
              <w:rPr>
                <w:sz w:val="22"/>
                <w:szCs w:val="22"/>
              </w:rPr>
              <w:t>18</w:t>
            </w:r>
          </w:p>
        </w:tc>
        <w:tc>
          <w:tcPr>
            <w:tcW w:w="1283" w:type="dxa"/>
            <w:tcBorders>
              <w:top w:val="nil"/>
              <w:bottom w:val="nil"/>
            </w:tcBorders>
          </w:tcPr>
          <w:p w:rsidR="00E8006B" w:rsidRDefault="009B70C8">
            <w:pPr>
              <w:spacing w:line="360" w:lineRule="auto"/>
              <w:jc w:val="center"/>
              <w:rPr>
                <w:sz w:val="22"/>
                <w:szCs w:val="22"/>
              </w:rPr>
            </w:pPr>
            <w:r>
              <w:rPr>
                <w:sz w:val="22"/>
                <w:szCs w:val="22"/>
              </w:rPr>
              <w:t>17 (94%)</w:t>
            </w:r>
          </w:p>
        </w:tc>
        <w:tc>
          <w:tcPr>
            <w:tcW w:w="1560" w:type="dxa"/>
            <w:tcBorders>
              <w:top w:val="nil"/>
              <w:bottom w:val="nil"/>
              <w:right w:val="nil"/>
            </w:tcBorders>
          </w:tcPr>
          <w:p w:rsidR="00E8006B" w:rsidRDefault="009B70C8">
            <w:pPr>
              <w:spacing w:line="360" w:lineRule="auto"/>
              <w:jc w:val="center"/>
              <w:rPr>
                <w:sz w:val="22"/>
                <w:szCs w:val="22"/>
              </w:rPr>
            </w:pPr>
            <w:r>
              <w:rPr>
                <w:sz w:val="22"/>
                <w:szCs w:val="22"/>
              </w:rPr>
              <w:t>1 (6%)</w:t>
            </w:r>
          </w:p>
        </w:tc>
      </w:tr>
    </w:tbl>
    <w:p w:rsidR="00E8006B" w:rsidRDefault="009B70C8">
      <w:pPr>
        <w:spacing w:line="360" w:lineRule="auto"/>
        <w:jc w:val="center"/>
        <w:rPr>
          <w:b/>
          <w:bCs/>
          <w:sz w:val="20"/>
          <w:szCs w:val="20"/>
        </w:rPr>
      </w:pPr>
      <w:r>
        <w:rPr>
          <w:b/>
          <w:bCs/>
          <w:sz w:val="20"/>
          <w:szCs w:val="20"/>
        </w:rPr>
        <w:t>Tabela 1 – Percentuais de universidades federais com e sem setor dedicado à gestão do esporte, em cada um dos tercis relativos ao número de estudantes em cursos de graduação presenciais</w:t>
      </w:r>
    </w:p>
    <w:p w:rsidR="00E8006B" w:rsidRDefault="00E8006B">
      <w:pPr>
        <w:spacing w:line="360" w:lineRule="auto"/>
        <w:jc w:val="both"/>
        <w:rPr>
          <w:sz w:val="22"/>
          <w:szCs w:val="22"/>
        </w:rPr>
      </w:pPr>
    </w:p>
    <w:p w:rsidR="00E8006B" w:rsidRDefault="009B70C8">
      <w:pPr>
        <w:spacing w:line="360" w:lineRule="auto"/>
        <w:ind w:firstLine="708"/>
        <w:jc w:val="both"/>
        <w:rPr>
          <w:sz w:val="22"/>
          <w:szCs w:val="22"/>
        </w:rPr>
      </w:pPr>
      <w:r>
        <w:rPr>
          <w:sz w:val="22"/>
          <w:szCs w:val="22"/>
        </w:rPr>
        <w:t>Se dividirmos o conjunto de 54 universidades que fizeram parte deste estudo em tercis, 83% do primeiro quartil, que reúne as universidades com menor número de alunos (por isso classificadas aqui como “pequenas”), contam com um setor dedicado à gestão do esporte. Já no segundo tercil (classificadas como “média”), 50% dessas instituições contam com essa estrutura para gestão do esporte. Finalmente, no terceiro quartil (em universidades classificadas como “grandes”), 94% das instituições dispõem de estrutura para a gestão do esporte. Por razões que não estão claras, as maiores proporções de universidades que dispõem de estruturas institucionais para a gestão do esporte, portanto, concentram-se nos extremos deste espectro, isto é, entre universidades “grandes” e “pequenas”.</w:t>
      </w:r>
    </w:p>
    <w:p w:rsidR="00E8006B" w:rsidRDefault="009B70C8">
      <w:pPr>
        <w:spacing w:line="360" w:lineRule="auto"/>
        <w:ind w:firstLine="709"/>
        <w:jc w:val="both"/>
        <w:rPr>
          <w:sz w:val="22"/>
          <w:szCs w:val="22"/>
        </w:rPr>
      </w:pPr>
      <w:r>
        <w:rPr>
          <w:sz w:val="22"/>
          <w:szCs w:val="22"/>
        </w:rPr>
        <w:t xml:space="preserve">A pesquisa também investigou a forma específica como as universidades federais realizam a gestão do esporte, distinguindo entre três tipos diferentes de gestão, conforme pré-estabelecido pelo questionário. A “gestão institucional”, em que a universidade atua diretamente na organização e execução de ações esportivas, foi o tipo mais frequentemente apontado, presente em 44% das universidades (n = 24). Em seguida aparece a “gestão mista”, presente em 41% das universidades (n = 22), em que as ações institucionais se limitam ao apoio financeiro às iniciativas conduzidas pelos próprios estudantes. Por fim, em 11% das universidades (n = 6), a gestão do esporte é predominantemente discente, ou seja, conduzida quase exclusivamente pelos próprios estudantes, com pouca ou nenhuma participação institucional. Duas universidades (4%) declararam ainda não possuir qualquer forma de gestão esportiva identificável. </w:t>
      </w:r>
    </w:p>
    <w:p w:rsidR="00E8006B" w:rsidRDefault="009B70C8">
      <w:pPr>
        <w:spacing w:line="360" w:lineRule="auto"/>
        <w:ind w:firstLine="709"/>
        <w:jc w:val="both"/>
        <w:rPr>
          <w:sz w:val="22"/>
          <w:szCs w:val="22"/>
        </w:rPr>
      </w:pPr>
      <w:r>
        <w:rPr>
          <w:sz w:val="22"/>
          <w:szCs w:val="22"/>
        </w:rPr>
        <w:t>Esses dados mostram que, embora a maioria das universidades federais possua um setor dedicado a gestão do esporte, a natureza do envolvimento institucional varia. A “gestão institucional” parece estar associada a condições mais favoráveis: todas as universidades com esse modelo possuem setor dedicado ao esporte, 62% contam com técnico desportivo em seus quadros e 71% adotam editais como instrumento de gestão. Na “gestão mista”, essas proporções são menores: 64%, 41% e 64%, respectivamente. Na “gestão discente” os indicadores são ainda mais reduzidos: apenas 33% possuem setor dedicado, 17% têm técnico desportivo e nenhuma utiliza editais. O dado mais expressivo, contudo, talvez esteja no orçamento: 50% das universidades com “gestão discente” declararam não possuir orçamento algum para o esporte, contra nenhuma das universidades com “gestão institucional”. Esse quadro sugere que, para além da mera existência formal ou não de um setor, as formas de atuação institucional também importam. A existência de um setor dedicado não garante, por si só, uma gestão mais ativa por parte da universidade, assim como a ausência desse setor não significa necessariamente a inexistência de qualquer gestão esportiva, que nesses casos tende a ser assumida pelos próprios estudantes.</w:t>
      </w:r>
    </w:p>
    <w:p w:rsidR="00E8006B" w:rsidRDefault="00E8006B">
      <w:pPr>
        <w:spacing w:line="360" w:lineRule="auto"/>
        <w:ind w:firstLine="708"/>
        <w:jc w:val="both"/>
        <w:rPr>
          <w:sz w:val="22"/>
          <w:szCs w:val="22"/>
        </w:rPr>
      </w:pPr>
    </w:p>
    <w:p w:rsidR="00E8006B" w:rsidRDefault="009B70C8">
      <w:pPr>
        <w:spacing w:line="360" w:lineRule="auto"/>
        <w:rPr>
          <w:sz w:val="22"/>
          <w:szCs w:val="22"/>
        </w:rPr>
      </w:pPr>
      <w:r>
        <w:rPr>
          <w:b/>
          <w:bCs/>
          <w:sz w:val="22"/>
          <w:szCs w:val="22"/>
        </w:rPr>
        <w:t>4 - FINANCIAMENTO</w:t>
      </w:r>
    </w:p>
    <w:p w:rsidR="00E8006B" w:rsidRDefault="00E8006B">
      <w:pPr>
        <w:spacing w:line="360" w:lineRule="auto"/>
        <w:jc w:val="both"/>
        <w:rPr>
          <w:sz w:val="22"/>
          <w:szCs w:val="22"/>
        </w:rPr>
      </w:pPr>
    </w:p>
    <w:p w:rsidR="00E8006B" w:rsidRDefault="009B70C8">
      <w:pPr>
        <w:spacing w:line="360" w:lineRule="auto"/>
        <w:ind w:firstLine="709"/>
        <w:jc w:val="both"/>
        <w:rPr>
          <w:sz w:val="22"/>
          <w:szCs w:val="22"/>
        </w:rPr>
      </w:pPr>
      <w:r>
        <w:rPr>
          <w:sz w:val="22"/>
          <w:szCs w:val="22"/>
        </w:rPr>
        <w:lastRenderedPageBreak/>
        <w:t>Além da estrutura organizacional, o financiamento constitui outro pilar da gestão de qualquer política setorial. A disponibilidade de recursos financeiros, afinal, é um fator determinante para a qualidade e abrangência de qualquer política institucional, influenciando desde a contratação de profissionais até a aquisição de materiais e a manutenção da infraestrutura.</w:t>
      </w:r>
    </w:p>
    <w:p w:rsidR="00E8006B" w:rsidRDefault="009B70C8">
      <w:pPr>
        <w:spacing w:line="360" w:lineRule="auto"/>
        <w:ind w:firstLine="709"/>
        <w:jc w:val="both"/>
        <w:rPr>
          <w:sz w:val="22"/>
          <w:szCs w:val="22"/>
        </w:rPr>
      </w:pPr>
      <w:r>
        <w:rPr>
          <w:sz w:val="22"/>
          <w:szCs w:val="22"/>
        </w:rPr>
        <w:t xml:space="preserve">Nesse sentido, os dados da pesquisa mostram que 39% das instituições (n = 21) investem menos de R$ 100 mil anuais em ações de esporte. No outro extremo, 17% dessas instituições declararam investir mais de R$ 300 mil anuais. Todavia, cerca de 31% das universidades (n = 17) não possuem ou não souberam informar o orçamento destinado ao esporte em suas instituições. </w:t>
      </w:r>
    </w:p>
    <w:p w:rsidR="00E8006B" w:rsidRDefault="009B70C8">
      <w:pPr>
        <w:spacing w:line="360" w:lineRule="auto"/>
        <w:ind w:firstLine="709"/>
        <w:jc w:val="both"/>
        <w:rPr>
          <w:sz w:val="22"/>
          <w:szCs w:val="22"/>
        </w:rPr>
      </w:pPr>
      <w:r>
        <w:rPr>
          <w:sz w:val="22"/>
          <w:szCs w:val="22"/>
        </w:rPr>
        <w:t>Conforme já apontamos na seção anterior, a distribuição do orçamento disponível varia de forma perceptível entre as universidades que possuem setor dedicado ao esporte e as que não possuem (ver gráfico 3). Entre as 41 universidades com setor dedicado, 46% operam com menos de R$ 100 mil anuais, 15% possuem entre R$ 100 mil e R$ 300 mil, enquanto 20% dispõem de mais de R$ 300 mil. Apenas 5% declararam não ter orçamento algum para o esporte e 15% declararam não saber informar o orçamento disponível. Já entre as 13 universidades que não possuem um setor dedicado aos esportes, 15% operem com menos de R$ 100 mil anuais, 8% possuem entre R$ 100 mil e R$ 300 mil, enquanto apenas 8% dispõem de mais de R$ 300 mil. Nada menos que 70% dessas instituições não possuem orçamento ou não souberam informar (ver gráfico 2). A proporção de universidades com mais de R$ 300 mil que possuem um setor dedicado à gestão do esporte (20%), portanto, é mais que o dobro da proporção verificada entre as que não dispõem (8%), o que sugere que a institucionalização tende a consolidar orçamentos mais expressivos.</w:t>
      </w:r>
    </w:p>
    <w:p w:rsidR="00E8006B" w:rsidRDefault="00E8006B">
      <w:pPr>
        <w:spacing w:line="360" w:lineRule="auto"/>
        <w:ind w:firstLine="851"/>
        <w:jc w:val="both"/>
        <w:rPr>
          <w:sz w:val="22"/>
          <w:szCs w:val="22"/>
        </w:rPr>
      </w:pPr>
    </w:p>
    <w:p w:rsidR="00E8006B" w:rsidRDefault="009B70C8">
      <w:pPr>
        <w:spacing w:line="360" w:lineRule="auto"/>
        <w:jc w:val="center"/>
        <w:rPr>
          <w:sz w:val="20"/>
          <w:szCs w:val="20"/>
        </w:rPr>
      </w:pPr>
      <w:r>
        <w:rPr>
          <w:noProof/>
        </w:rPr>
        <w:drawing>
          <wp:inline distT="0" distB="0" distL="0" distR="0">
            <wp:extent cx="5026025" cy="3219450"/>
            <wp:effectExtent l="0" t="0" r="0" b="0"/>
            <wp:docPr id="4" name="Objeto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8006B" w:rsidRDefault="009B70C8">
      <w:pPr>
        <w:spacing w:line="360" w:lineRule="auto"/>
        <w:jc w:val="center"/>
        <w:rPr>
          <w:sz w:val="20"/>
          <w:szCs w:val="20"/>
        </w:rPr>
      </w:pPr>
      <w:r>
        <w:rPr>
          <w:b/>
          <w:bCs/>
          <w:sz w:val="20"/>
          <w:szCs w:val="20"/>
        </w:rPr>
        <w:t>Gráfico 3 – Distribuição percentual das faixas de orçamento por existência ou não de setor dedicado à gestão do esporte</w:t>
      </w:r>
    </w:p>
    <w:p w:rsidR="00E8006B" w:rsidRDefault="00E8006B">
      <w:pPr>
        <w:spacing w:line="360" w:lineRule="auto"/>
        <w:ind w:firstLine="851"/>
        <w:jc w:val="both"/>
        <w:rPr>
          <w:sz w:val="22"/>
          <w:szCs w:val="22"/>
        </w:rPr>
      </w:pPr>
    </w:p>
    <w:p w:rsidR="00E8006B" w:rsidRDefault="009B70C8">
      <w:pPr>
        <w:spacing w:line="360" w:lineRule="auto"/>
        <w:ind w:firstLine="709"/>
        <w:jc w:val="both"/>
        <w:rPr>
          <w:sz w:val="22"/>
          <w:szCs w:val="22"/>
        </w:rPr>
      </w:pPr>
      <w:r>
        <w:rPr>
          <w:sz w:val="22"/>
          <w:szCs w:val="22"/>
        </w:rPr>
        <w:t xml:space="preserve">Quanto maior o orçamento, maior também o tamanho da universidade, sempre medido pelo número de alunos matriculados em cursos presenciais de graduação. As universidades sem orçamento têm mediana de </w:t>
      </w:r>
      <w:r>
        <w:rPr>
          <w:sz w:val="22"/>
          <w:szCs w:val="22"/>
        </w:rPr>
        <w:lastRenderedPageBreak/>
        <w:t>11.400 alunos. Universidades com orçamento para os esportes inferiores a R$ 100 mil, por seu turno, tem uma mediana de 10.200 alunos, enquanto as instituições com mais de R$ 300 mil nesta rubrica têm mediana de 24.100 alunos (diante de uma mediana geral de 13.700). A Tabela 2 sintetiza os principais dados sobre faixas de orçamento para esporte e o tamanho das universidades.</w:t>
      </w:r>
    </w:p>
    <w:p w:rsidR="00E8006B" w:rsidRDefault="00E8006B">
      <w:pPr>
        <w:spacing w:line="360" w:lineRule="auto"/>
        <w:ind w:firstLine="709"/>
        <w:jc w:val="both"/>
        <w:rPr>
          <w:sz w:val="22"/>
          <w:szCs w:val="22"/>
        </w:rPr>
      </w:pPr>
    </w:p>
    <w:tbl>
      <w:tblPr>
        <w:tblStyle w:val="Tabelacomgrade"/>
        <w:tblW w:w="7358" w:type="dxa"/>
        <w:jc w:val="center"/>
        <w:tblLayout w:type="fixed"/>
        <w:tblLook w:val="04A0" w:firstRow="1" w:lastRow="0" w:firstColumn="1" w:lastColumn="0" w:noHBand="0" w:noVBand="1"/>
      </w:tblPr>
      <w:tblGrid>
        <w:gridCol w:w="3398"/>
        <w:gridCol w:w="1334"/>
        <w:gridCol w:w="1359"/>
        <w:gridCol w:w="1267"/>
      </w:tblGrid>
      <w:tr w:rsidR="00E8006B">
        <w:trPr>
          <w:jc w:val="center"/>
        </w:trPr>
        <w:tc>
          <w:tcPr>
            <w:tcW w:w="3397" w:type="dxa"/>
            <w:tcBorders>
              <w:top w:val="nil"/>
              <w:left w:val="nil"/>
            </w:tcBorders>
            <w:vAlign w:val="center"/>
          </w:tcPr>
          <w:p w:rsidR="00E8006B" w:rsidRDefault="009B70C8">
            <w:pPr>
              <w:spacing w:line="360" w:lineRule="auto"/>
              <w:jc w:val="center"/>
              <w:rPr>
                <w:sz w:val="22"/>
                <w:szCs w:val="22"/>
              </w:rPr>
            </w:pPr>
            <w:r>
              <w:rPr>
                <w:b/>
                <w:bCs/>
                <w:sz w:val="22"/>
                <w:szCs w:val="22"/>
              </w:rPr>
              <w:t xml:space="preserve">Tamanho da universidade </w:t>
            </w:r>
          </w:p>
          <w:p w:rsidR="00E8006B" w:rsidRDefault="009B70C8">
            <w:pPr>
              <w:spacing w:line="360" w:lineRule="auto"/>
              <w:jc w:val="center"/>
              <w:rPr>
                <w:b/>
                <w:bCs/>
                <w:sz w:val="22"/>
                <w:szCs w:val="22"/>
              </w:rPr>
            </w:pPr>
            <w:proofErr w:type="gramStart"/>
            <w:r>
              <w:rPr>
                <w:b/>
                <w:bCs/>
                <w:sz w:val="22"/>
                <w:szCs w:val="22"/>
              </w:rPr>
              <w:t>x</w:t>
            </w:r>
            <w:proofErr w:type="gramEnd"/>
            <w:r>
              <w:rPr>
                <w:b/>
                <w:bCs/>
                <w:sz w:val="22"/>
                <w:szCs w:val="22"/>
              </w:rPr>
              <w:t xml:space="preserve"> Faixa de orçamento</w:t>
            </w:r>
          </w:p>
        </w:tc>
        <w:tc>
          <w:tcPr>
            <w:tcW w:w="1334" w:type="dxa"/>
            <w:tcBorders>
              <w:top w:val="nil"/>
            </w:tcBorders>
            <w:vAlign w:val="center"/>
          </w:tcPr>
          <w:p w:rsidR="00E8006B" w:rsidRDefault="009B70C8">
            <w:pPr>
              <w:spacing w:line="360" w:lineRule="auto"/>
              <w:jc w:val="center"/>
              <w:rPr>
                <w:b/>
                <w:bCs/>
                <w:sz w:val="22"/>
                <w:szCs w:val="22"/>
              </w:rPr>
            </w:pPr>
            <w:r>
              <w:rPr>
                <w:b/>
                <w:bCs/>
                <w:sz w:val="22"/>
                <w:szCs w:val="22"/>
              </w:rPr>
              <w:t>Pequena</w:t>
            </w:r>
          </w:p>
          <w:p w:rsidR="00E8006B" w:rsidRDefault="009B70C8">
            <w:pPr>
              <w:spacing w:line="360" w:lineRule="auto"/>
              <w:jc w:val="center"/>
              <w:rPr>
                <w:sz w:val="22"/>
                <w:szCs w:val="22"/>
              </w:rPr>
            </w:pPr>
            <w:r>
              <w:rPr>
                <w:b/>
                <w:bCs/>
                <w:sz w:val="22"/>
                <w:szCs w:val="22"/>
              </w:rPr>
              <w:t>(</w:t>
            </w:r>
            <w:proofErr w:type="gramStart"/>
            <w:r>
              <w:rPr>
                <w:b/>
                <w:bCs/>
                <w:sz w:val="22"/>
                <w:szCs w:val="22"/>
              </w:rPr>
              <w:t>n</w:t>
            </w:r>
            <w:proofErr w:type="gramEnd"/>
            <w:r>
              <w:rPr>
                <w:b/>
                <w:bCs/>
                <w:sz w:val="22"/>
                <w:szCs w:val="22"/>
              </w:rPr>
              <w:t xml:space="preserve"> = 18)</w:t>
            </w:r>
          </w:p>
        </w:tc>
        <w:tc>
          <w:tcPr>
            <w:tcW w:w="1359" w:type="dxa"/>
            <w:tcBorders>
              <w:top w:val="nil"/>
            </w:tcBorders>
            <w:vAlign w:val="center"/>
          </w:tcPr>
          <w:p w:rsidR="00E8006B" w:rsidRDefault="009B70C8">
            <w:pPr>
              <w:spacing w:line="360" w:lineRule="auto"/>
              <w:jc w:val="center"/>
              <w:rPr>
                <w:b/>
                <w:bCs/>
                <w:sz w:val="22"/>
                <w:szCs w:val="22"/>
              </w:rPr>
            </w:pPr>
            <w:r>
              <w:rPr>
                <w:b/>
                <w:bCs/>
                <w:sz w:val="22"/>
                <w:szCs w:val="22"/>
              </w:rPr>
              <w:t>Média</w:t>
            </w:r>
          </w:p>
          <w:p w:rsidR="00E8006B" w:rsidRDefault="009B70C8">
            <w:pPr>
              <w:spacing w:line="360" w:lineRule="auto"/>
              <w:jc w:val="center"/>
              <w:rPr>
                <w:sz w:val="22"/>
                <w:szCs w:val="22"/>
              </w:rPr>
            </w:pPr>
            <w:r>
              <w:rPr>
                <w:b/>
                <w:bCs/>
                <w:sz w:val="22"/>
                <w:szCs w:val="22"/>
              </w:rPr>
              <w:t xml:space="preserve"> (</w:t>
            </w:r>
            <w:proofErr w:type="gramStart"/>
            <w:r>
              <w:rPr>
                <w:b/>
                <w:bCs/>
                <w:sz w:val="22"/>
                <w:szCs w:val="22"/>
              </w:rPr>
              <w:t>n</w:t>
            </w:r>
            <w:proofErr w:type="gramEnd"/>
            <w:r>
              <w:rPr>
                <w:b/>
                <w:bCs/>
                <w:sz w:val="22"/>
                <w:szCs w:val="22"/>
              </w:rPr>
              <w:t xml:space="preserve"> = 18)</w:t>
            </w:r>
          </w:p>
        </w:tc>
        <w:tc>
          <w:tcPr>
            <w:tcW w:w="1267" w:type="dxa"/>
            <w:tcBorders>
              <w:top w:val="nil"/>
              <w:right w:val="nil"/>
            </w:tcBorders>
            <w:vAlign w:val="center"/>
          </w:tcPr>
          <w:p w:rsidR="00E8006B" w:rsidRDefault="009B70C8">
            <w:pPr>
              <w:spacing w:line="360" w:lineRule="auto"/>
              <w:jc w:val="center"/>
              <w:rPr>
                <w:b/>
                <w:bCs/>
                <w:sz w:val="22"/>
                <w:szCs w:val="22"/>
              </w:rPr>
            </w:pPr>
            <w:r>
              <w:rPr>
                <w:b/>
                <w:bCs/>
                <w:sz w:val="22"/>
                <w:szCs w:val="22"/>
              </w:rPr>
              <w:t xml:space="preserve">Grande </w:t>
            </w:r>
          </w:p>
          <w:p w:rsidR="00E8006B" w:rsidRDefault="009B70C8">
            <w:pPr>
              <w:spacing w:line="360" w:lineRule="auto"/>
              <w:jc w:val="center"/>
              <w:rPr>
                <w:sz w:val="22"/>
                <w:szCs w:val="22"/>
              </w:rPr>
            </w:pPr>
            <w:r>
              <w:rPr>
                <w:b/>
                <w:bCs/>
                <w:sz w:val="22"/>
                <w:szCs w:val="22"/>
              </w:rPr>
              <w:t>(</w:t>
            </w:r>
            <w:proofErr w:type="gramStart"/>
            <w:r>
              <w:rPr>
                <w:b/>
                <w:bCs/>
                <w:sz w:val="22"/>
                <w:szCs w:val="22"/>
              </w:rPr>
              <w:t>n</w:t>
            </w:r>
            <w:proofErr w:type="gramEnd"/>
            <w:r>
              <w:rPr>
                <w:b/>
                <w:bCs/>
                <w:sz w:val="22"/>
                <w:szCs w:val="22"/>
              </w:rPr>
              <w:t xml:space="preserve"> = 18)</w:t>
            </w:r>
          </w:p>
        </w:tc>
      </w:tr>
      <w:tr w:rsidR="00E8006B">
        <w:trPr>
          <w:jc w:val="center"/>
        </w:trPr>
        <w:tc>
          <w:tcPr>
            <w:tcW w:w="3397" w:type="dxa"/>
            <w:tcBorders>
              <w:left w:val="nil"/>
              <w:bottom w:val="nil"/>
            </w:tcBorders>
            <w:vAlign w:val="center"/>
          </w:tcPr>
          <w:p w:rsidR="00E8006B" w:rsidRDefault="009B70C8">
            <w:pPr>
              <w:spacing w:line="360" w:lineRule="auto"/>
              <w:jc w:val="center"/>
              <w:rPr>
                <w:sz w:val="22"/>
                <w:szCs w:val="22"/>
              </w:rPr>
            </w:pPr>
            <w:r>
              <w:rPr>
                <w:sz w:val="22"/>
                <w:szCs w:val="22"/>
              </w:rPr>
              <w:t>Não possui orçamento</w:t>
            </w:r>
          </w:p>
        </w:tc>
        <w:tc>
          <w:tcPr>
            <w:tcW w:w="1334" w:type="dxa"/>
            <w:tcBorders>
              <w:bottom w:val="nil"/>
            </w:tcBorders>
            <w:vAlign w:val="center"/>
          </w:tcPr>
          <w:p w:rsidR="00E8006B" w:rsidRDefault="009B70C8">
            <w:pPr>
              <w:spacing w:line="360" w:lineRule="auto"/>
              <w:jc w:val="center"/>
              <w:rPr>
                <w:sz w:val="22"/>
                <w:szCs w:val="22"/>
              </w:rPr>
            </w:pPr>
            <w:r>
              <w:rPr>
                <w:sz w:val="22"/>
                <w:szCs w:val="22"/>
              </w:rPr>
              <w:t>1 (6%)</w:t>
            </w:r>
          </w:p>
        </w:tc>
        <w:tc>
          <w:tcPr>
            <w:tcW w:w="1359" w:type="dxa"/>
            <w:tcBorders>
              <w:bottom w:val="nil"/>
            </w:tcBorders>
            <w:vAlign w:val="center"/>
          </w:tcPr>
          <w:p w:rsidR="00E8006B" w:rsidRDefault="009B70C8">
            <w:pPr>
              <w:spacing w:line="360" w:lineRule="auto"/>
              <w:jc w:val="center"/>
              <w:rPr>
                <w:sz w:val="22"/>
                <w:szCs w:val="22"/>
              </w:rPr>
            </w:pPr>
            <w:r>
              <w:rPr>
                <w:sz w:val="22"/>
                <w:szCs w:val="22"/>
              </w:rPr>
              <w:t>3 (17%)</w:t>
            </w:r>
          </w:p>
        </w:tc>
        <w:tc>
          <w:tcPr>
            <w:tcW w:w="1267" w:type="dxa"/>
            <w:tcBorders>
              <w:bottom w:val="nil"/>
              <w:right w:val="nil"/>
            </w:tcBorders>
            <w:vAlign w:val="center"/>
          </w:tcPr>
          <w:p w:rsidR="00E8006B" w:rsidRDefault="009B70C8">
            <w:pPr>
              <w:spacing w:line="360" w:lineRule="auto"/>
              <w:jc w:val="center"/>
              <w:rPr>
                <w:sz w:val="22"/>
                <w:szCs w:val="22"/>
              </w:rPr>
            </w:pPr>
            <w:r>
              <w:rPr>
                <w:sz w:val="22"/>
                <w:szCs w:val="22"/>
              </w:rPr>
              <w:t>1 (6%)</w:t>
            </w:r>
          </w:p>
        </w:tc>
      </w:tr>
      <w:tr w:rsidR="00E8006B">
        <w:trPr>
          <w:jc w:val="center"/>
        </w:trPr>
        <w:tc>
          <w:tcPr>
            <w:tcW w:w="3397" w:type="dxa"/>
            <w:tcBorders>
              <w:top w:val="nil"/>
              <w:left w:val="nil"/>
              <w:bottom w:val="nil"/>
            </w:tcBorders>
            <w:vAlign w:val="center"/>
          </w:tcPr>
          <w:p w:rsidR="00E8006B" w:rsidRDefault="009B70C8">
            <w:pPr>
              <w:spacing w:line="360" w:lineRule="auto"/>
              <w:jc w:val="center"/>
              <w:rPr>
                <w:sz w:val="22"/>
                <w:szCs w:val="22"/>
              </w:rPr>
            </w:pPr>
            <w:r>
              <w:rPr>
                <w:sz w:val="22"/>
                <w:szCs w:val="22"/>
              </w:rPr>
              <w:t>Menos de R$ 100 mil</w:t>
            </w:r>
          </w:p>
        </w:tc>
        <w:tc>
          <w:tcPr>
            <w:tcW w:w="1334" w:type="dxa"/>
            <w:tcBorders>
              <w:top w:val="nil"/>
              <w:bottom w:val="nil"/>
            </w:tcBorders>
            <w:vAlign w:val="center"/>
          </w:tcPr>
          <w:p w:rsidR="00E8006B" w:rsidRDefault="009B70C8">
            <w:pPr>
              <w:spacing w:line="360" w:lineRule="auto"/>
              <w:jc w:val="center"/>
              <w:rPr>
                <w:sz w:val="22"/>
                <w:szCs w:val="22"/>
              </w:rPr>
            </w:pPr>
            <w:r>
              <w:rPr>
                <w:sz w:val="22"/>
                <w:szCs w:val="22"/>
              </w:rPr>
              <w:t>10 (56%)</w:t>
            </w:r>
          </w:p>
        </w:tc>
        <w:tc>
          <w:tcPr>
            <w:tcW w:w="1359" w:type="dxa"/>
            <w:tcBorders>
              <w:top w:val="nil"/>
              <w:bottom w:val="nil"/>
            </w:tcBorders>
            <w:vAlign w:val="center"/>
          </w:tcPr>
          <w:p w:rsidR="00E8006B" w:rsidRDefault="009B70C8">
            <w:pPr>
              <w:spacing w:line="360" w:lineRule="auto"/>
              <w:jc w:val="center"/>
              <w:rPr>
                <w:sz w:val="22"/>
                <w:szCs w:val="22"/>
              </w:rPr>
            </w:pPr>
            <w:r>
              <w:rPr>
                <w:sz w:val="22"/>
                <w:szCs w:val="22"/>
              </w:rPr>
              <w:t>7 (39%)</w:t>
            </w:r>
          </w:p>
        </w:tc>
        <w:tc>
          <w:tcPr>
            <w:tcW w:w="1267" w:type="dxa"/>
            <w:tcBorders>
              <w:top w:val="nil"/>
              <w:bottom w:val="nil"/>
              <w:right w:val="nil"/>
            </w:tcBorders>
            <w:vAlign w:val="center"/>
          </w:tcPr>
          <w:p w:rsidR="00E8006B" w:rsidRDefault="009B70C8">
            <w:pPr>
              <w:spacing w:line="360" w:lineRule="auto"/>
              <w:jc w:val="center"/>
              <w:rPr>
                <w:sz w:val="22"/>
                <w:szCs w:val="22"/>
              </w:rPr>
            </w:pPr>
            <w:r>
              <w:rPr>
                <w:sz w:val="22"/>
                <w:szCs w:val="22"/>
              </w:rPr>
              <w:t>4 (22%)</w:t>
            </w:r>
          </w:p>
        </w:tc>
      </w:tr>
      <w:tr w:rsidR="00E8006B">
        <w:trPr>
          <w:jc w:val="center"/>
        </w:trPr>
        <w:tc>
          <w:tcPr>
            <w:tcW w:w="3397" w:type="dxa"/>
            <w:tcBorders>
              <w:top w:val="nil"/>
              <w:left w:val="nil"/>
              <w:bottom w:val="nil"/>
            </w:tcBorders>
            <w:vAlign w:val="center"/>
          </w:tcPr>
          <w:p w:rsidR="00E8006B" w:rsidRDefault="009B70C8">
            <w:pPr>
              <w:spacing w:line="360" w:lineRule="auto"/>
              <w:jc w:val="center"/>
              <w:rPr>
                <w:sz w:val="22"/>
                <w:szCs w:val="22"/>
              </w:rPr>
            </w:pPr>
            <w:r>
              <w:rPr>
                <w:sz w:val="22"/>
                <w:szCs w:val="22"/>
              </w:rPr>
              <w:t>Entre R$ 100 mil e R$ 200 mil</w:t>
            </w:r>
          </w:p>
        </w:tc>
        <w:tc>
          <w:tcPr>
            <w:tcW w:w="1334" w:type="dxa"/>
            <w:tcBorders>
              <w:top w:val="nil"/>
              <w:bottom w:val="nil"/>
            </w:tcBorders>
            <w:vAlign w:val="center"/>
          </w:tcPr>
          <w:p w:rsidR="00E8006B" w:rsidRDefault="009B70C8">
            <w:pPr>
              <w:spacing w:line="360" w:lineRule="auto"/>
              <w:jc w:val="center"/>
              <w:rPr>
                <w:sz w:val="22"/>
                <w:szCs w:val="22"/>
              </w:rPr>
            </w:pPr>
            <w:r>
              <w:rPr>
                <w:sz w:val="22"/>
                <w:szCs w:val="22"/>
              </w:rPr>
              <w:t>3 (17%)</w:t>
            </w:r>
          </w:p>
        </w:tc>
        <w:tc>
          <w:tcPr>
            <w:tcW w:w="1359" w:type="dxa"/>
            <w:tcBorders>
              <w:top w:val="nil"/>
              <w:bottom w:val="nil"/>
            </w:tcBorders>
            <w:vAlign w:val="center"/>
          </w:tcPr>
          <w:p w:rsidR="00E8006B" w:rsidRDefault="009B70C8">
            <w:pPr>
              <w:spacing w:line="360" w:lineRule="auto"/>
              <w:jc w:val="center"/>
              <w:rPr>
                <w:sz w:val="22"/>
                <w:szCs w:val="22"/>
              </w:rPr>
            </w:pPr>
            <w:r>
              <w:rPr>
                <w:sz w:val="22"/>
                <w:szCs w:val="22"/>
              </w:rPr>
              <w:t>0 (0%)</w:t>
            </w:r>
          </w:p>
        </w:tc>
        <w:tc>
          <w:tcPr>
            <w:tcW w:w="1267" w:type="dxa"/>
            <w:tcBorders>
              <w:top w:val="nil"/>
              <w:bottom w:val="nil"/>
              <w:right w:val="nil"/>
            </w:tcBorders>
            <w:vAlign w:val="center"/>
          </w:tcPr>
          <w:p w:rsidR="00E8006B" w:rsidRDefault="009B70C8">
            <w:pPr>
              <w:spacing w:line="360" w:lineRule="auto"/>
              <w:jc w:val="center"/>
              <w:rPr>
                <w:sz w:val="22"/>
                <w:szCs w:val="22"/>
              </w:rPr>
            </w:pPr>
            <w:r>
              <w:rPr>
                <w:sz w:val="22"/>
                <w:szCs w:val="22"/>
              </w:rPr>
              <w:t>3 (17%)</w:t>
            </w:r>
          </w:p>
        </w:tc>
      </w:tr>
      <w:tr w:rsidR="00E8006B">
        <w:trPr>
          <w:jc w:val="center"/>
        </w:trPr>
        <w:tc>
          <w:tcPr>
            <w:tcW w:w="3397" w:type="dxa"/>
            <w:tcBorders>
              <w:top w:val="nil"/>
              <w:left w:val="nil"/>
              <w:bottom w:val="nil"/>
            </w:tcBorders>
            <w:vAlign w:val="center"/>
          </w:tcPr>
          <w:p w:rsidR="00E8006B" w:rsidRDefault="009B70C8">
            <w:pPr>
              <w:spacing w:line="360" w:lineRule="auto"/>
              <w:jc w:val="center"/>
              <w:rPr>
                <w:sz w:val="22"/>
                <w:szCs w:val="22"/>
              </w:rPr>
            </w:pPr>
            <w:r>
              <w:rPr>
                <w:sz w:val="22"/>
                <w:szCs w:val="22"/>
              </w:rPr>
              <w:t>Entre R$ 200 mil e R$ 300 mil</w:t>
            </w:r>
          </w:p>
        </w:tc>
        <w:tc>
          <w:tcPr>
            <w:tcW w:w="1334" w:type="dxa"/>
            <w:tcBorders>
              <w:top w:val="nil"/>
              <w:bottom w:val="nil"/>
            </w:tcBorders>
            <w:vAlign w:val="center"/>
          </w:tcPr>
          <w:p w:rsidR="00E8006B" w:rsidRDefault="009B70C8">
            <w:pPr>
              <w:spacing w:line="360" w:lineRule="auto"/>
              <w:jc w:val="center"/>
              <w:rPr>
                <w:sz w:val="22"/>
                <w:szCs w:val="22"/>
              </w:rPr>
            </w:pPr>
            <w:r>
              <w:rPr>
                <w:sz w:val="22"/>
                <w:szCs w:val="22"/>
              </w:rPr>
              <w:t>0 (0%)</w:t>
            </w:r>
          </w:p>
        </w:tc>
        <w:tc>
          <w:tcPr>
            <w:tcW w:w="1359" w:type="dxa"/>
            <w:tcBorders>
              <w:top w:val="nil"/>
              <w:bottom w:val="nil"/>
            </w:tcBorders>
            <w:vAlign w:val="center"/>
          </w:tcPr>
          <w:p w:rsidR="00E8006B" w:rsidRDefault="009B70C8">
            <w:pPr>
              <w:spacing w:line="360" w:lineRule="auto"/>
              <w:jc w:val="center"/>
              <w:rPr>
                <w:sz w:val="22"/>
                <w:szCs w:val="22"/>
              </w:rPr>
            </w:pPr>
            <w:r>
              <w:rPr>
                <w:sz w:val="22"/>
                <w:szCs w:val="22"/>
              </w:rPr>
              <w:t>1 (6%)</w:t>
            </w:r>
          </w:p>
        </w:tc>
        <w:tc>
          <w:tcPr>
            <w:tcW w:w="1267" w:type="dxa"/>
            <w:tcBorders>
              <w:top w:val="nil"/>
              <w:bottom w:val="nil"/>
              <w:right w:val="nil"/>
            </w:tcBorders>
            <w:vAlign w:val="center"/>
          </w:tcPr>
          <w:p w:rsidR="00E8006B" w:rsidRDefault="009B70C8">
            <w:pPr>
              <w:spacing w:line="360" w:lineRule="auto"/>
              <w:jc w:val="center"/>
              <w:rPr>
                <w:sz w:val="22"/>
                <w:szCs w:val="22"/>
              </w:rPr>
            </w:pPr>
            <w:r>
              <w:rPr>
                <w:sz w:val="22"/>
                <w:szCs w:val="22"/>
              </w:rPr>
              <w:t>0 (0%)</w:t>
            </w:r>
          </w:p>
        </w:tc>
      </w:tr>
      <w:tr w:rsidR="00E8006B">
        <w:trPr>
          <w:jc w:val="center"/>
        </w:trPr>
        <w:tc>
          <w:tcPr>
            <w:tcW w:w="3397" w:type="dxa"/>
            <w:tcBorders>
              <w:top w:val="nil"/>
              <w:left w:val="nil"/>
              <w:bottom w:val="nil"/>
            </w:tcBorders>
            <w:vAlign w:val="center"/>
          </w:tcPr>
          <w:p w:rsidR="00E8006B" w:rsidRDefault="009B70C8">
            <w:pPr>
              <w:spacing w:line="360" w:lineRule="auto"/>
              <w:jc w:val="center"/>
              <w:rPr>
                <w:sz w:val="22"/>
                <w:szCs w:val="22"/>
              </w:rPr>
            </w:pPr>
            <w:r>
              <w:rPr>
                <w:sz w:val="22"/>
                <w:szCs w:val="22"/>
              </w:rPr>
              <w:t>Mais de R$ 300 mil</w:t>
            </w:r>
          </w:p>
        </w:tc>
        <w:tc>
          <w:tcPr>
            <w:tcW w:w="1334" w:type="dxa"/>
            <w:tcBorders>
              <w:top w:val="nil"/>
              <w:bottom w:val="nil"/>
            </w:tcBorders>
            <w:vAlign w:val="center"/>
          </w:tcPr>
          <w:p w:rsidR="00E8006B" w:rsidRDefault="009B70C8">
            <w:pPr>
              <w:spacing w:line="360" w:lineRule="auto"/>
              <w:jc w:val="center"/>
              <w:rPr>
                <w:sz w:val="22"/>
                <w:szCs w:val="22"/>
              </w:rPr>
            </w:pPr>
            <w:r>
              <w:rPr>
                <w:sz w:val="22"/>
                <w:szCs w:val="22"/>
              </w:rPr>
              <w:t>1 (6%)</w:t>
            </w:r>
          </w:p>
        </w:tc>
        <w:tc>
          <w:tcPr>
            <w:tcW w:w="1359" w:type="dxa"/>
            <w:tcBorders>
              <w:top w:val="nil"/>
              <w:bottom w:val="nil"/>
            </w:tcBorders>
            <w:vAlign w:val="center"/>
          </w:tcPr>
          <w:p w:rsidR="00E8006B" w:rsidRDefault="009B70C8">
            <w:pPr>
              <w:spacing w:line="360" w:lineRule="auto"/>
              <w:jc w:val="center"/>
              <w:rPr>
                <w:sz w:val="22"/>
                <w:szCs w:val="22"/>
              </w:rPr>
            </w:pPr>
            <w:r>
              <w:rPr>
                <w:sz w:val="22"/>
                <w:szCs w:val="22"/>
              </w:rPr>
              <w:t>2 (11%)</w:t>
            </w:r>
          </w:p>
        </w:tc>
        <w:tc>
          <w:tcPr>
            <w:tcW w:w="1267" w:type="dxa"/>
            <w:tcBorders>
              <w:top w:val="nil"/>
              <w:bottom w:val="nil"/>
              <w:right w:val="nil"/>
            </w:tcBorders>
            <w:vAlign w:val="center"/>
          </w:tcPr>
          <w:p w:rsidR="00E8006B" w:rsidRDefault="009B70C8">
            <w:pPr>
              <w:spacing w:line="360" w:lineRule="auto"/>
              <w:jc w:val="center"/>
              <w:rPr>
                <w:sz w:val="22"/>
                <w:szCs w:val="22"/>
              </w:rPr>
            </w:pPr>
            <w:r>
              <w:rPr>
                <w:sz w:val="22"/>
                <w:szCs w:val="22"/>
              </w:rPr>
              <w:t>6 (33%)</w:t>
            </w:r>
          </w:p>
        </w:tc>
      </w:tr>
      <w:tr w:rsidR="00E8006B">
        <w:trPr>
          <w:jc w:val="center"/>
        </w:trPr>
        <w:tc>
          <w:tcPr>
            <w:tcW w:w="3397" w:type="dxa"/>
            <w:tcBorders>
              <w:top w:val="nil"/>
              <w:left w:val="nil"/>
              <w:bottom w:val="nil"/>
            </w:tcBorders>
            <w:vAlign w:val="center"/>
          </w:tcPr>
          <w:p w:rsidR="00E8006B" w:rsidRDefault="009B70C8">
            <w:pPr>
              <w:spacing w:line="360" w:lineRule="auto"/>
              <w:jc w:val="center"/>
              <w:rPr>
                <w:sz w:val="22"/>
                <w:szCs w:val="22"/>
              </w:rPr>
            </w:pPr>
            <w:r>
              <w:rPr>
                <w:sz w:val="22"/>
                <w:szCs w:val="22"/>
              </w:rPr>
              <w:t>Não soube informar</w:t>
            </w:r>
          </w:p>
        </w:tc>
        <w:tc>
          <w:tcPr>
            <w:tcW w:w="1334" w:type="dxa"/>
            <w:tcBorders>
              <w:top w:val="nil"/>
              <w:bottom w:val="nil"/>
            </w:tcBorders>
            <w:vAlign w:val="center"/>
          </w:tcPr>
          <w:p w:rsidR="00E8006B" w:rsidRDefault="009B70C8">
            <w:pPr>
              <w:spacing w:line="360" w:lineRule="auto"/>
              <w:jc w:val="center"/>
              <w:rPr>
                <w:sz w:val="22"/>
                <w:szCs w:val="22"/>
              </w:rPr>
            </w:pPr>
            <w:r>
              <w:rPr>
                <w:sz w:val="22"/>
                <w:szCs w:val="22"/>
              </w:rPr>
              <w:t>3 (17%)</w:t>
            </w:r>
          </w:p>
        </w:tc>
        <w:tc>
          <w:tcPr>
            <w:tcW w:w="1359" w:type="dxa"/>
            <w:tcBorders>
              <w:top w:val="nil"/>
              <w:bottom w:val="nil"/>
            </w:tcBorders>
            <w:vAlign w:val="center"/>
          </w:tcPr>
          <w:p w:rsidR="00E8006B" w:rsidRDefault="009B70C8">
            <w:pPr>
              <w:spacing w:line="360" w:lineRule="auto"/>
              <w:jc w:val="center"/>
              <w:rPr>
                <w:sz w:val="22"/>
                <w:szCs w:val="22"/>
              </w:rPr>
            </w:pPr>
            <w:r>
              <w:rPr>
                <w:sz w:val="22"/>
                <w:szCs w:val="22"/>
              </w:rPr>
              <w:t>5 (28%)</w:t>
            </w:r>
          </w:p>
        </w:tc>
        <w:tc>
          <w:tcPr>
            <w:tcW w:w="1267" w:type="dxa"/>
            <w:tcBorders>
              <w:top w:val="nil"/>
              <w:bottom w:val="nil"/>
              <w:right w:val="nil"/>
            </w:tcBorders>
            <w:vAlign w:val="center"/>
          </w:tcPr>
          <w:p w:rsidR="00E8006B" w:rsidRDefault="009B70C8">
            <w:pPr>
              <w:spacing w:line="360" w:lineRule="auto"/>
              <w:jc w:val="center"/>
              <w:rPr>
                <w:sz w:val="22"/>
                <w:szCs w:val="22"/>
              </w:rPr>
            </w:pPr>
            <w:r>
              <w:rPr>
                <w:sz w:val="22"/>
                <w:szCs w:val="22"/>
              </w:rPr>
              <w:t>4 (22%)</w:t>
            </w:r>
          </w:p>
        </w:tc>
      </w:tr>
    </w:tbl>
    <w:p w:rsidR="00E8006B" w:rsidRDefault="009B70C8">
      <w:pPr>
        <w:spacing w:line="360" w:lineRule="auto"/>
        <w:jc w:val="center"/>
        <w:rPr>
          <w:sz w:val="20"/>
          <w:szCs w:val="20"/>
        </w:rPr>
      </w:pPr>
      <w:r>
        <w:rPr>
          <w:b/>
          <w:bCs/>
          <w:sz w:val="20"/>
          <w:szCs w:val="20"/>
        </w:rPr>
        <w:t>Tabela 2 - Faixas de orçamento para esporte nas universidades federais, por quartil de tamanho (medido pelo número de estudantes em cursos presenciais de graduação)</w:t>
      </w:r>
    </w:p>
    <w:p w:rsidR="00E8006B" w:rsidRDefault="00E8006B">
      <w:pPr>
        <w:spacing w:line="360" w:lineRule="auto"/>
        <w:jc w:val="both"/>
        <w:rPr>
          <w:color w:val="EE0000"/>
          <w:sz w:val="22"/>
          <w:szCs w:val="22"/>
        </w:rPr>
      </w:pPr>
    </w:p>
    <w:p w:rsidR="00E8006B" w:rsidRDefault="009B70C8">
      <w:pPr>
        <w:spacing w:line="360" w:lineRule="auto"/>
        <w:ind w:firstLine="709"/>
        <w:jc w:val="both"/>
        <w:rPr>
          <w:sz w:val="22"/>
          <w:szCs w:val="22"/>
        </w:rPr>
      </w:pPr>
      <w:r>
        <w:rPr>
          <w:sz w:val="22"/>
          <w:szCs w:val="22"/>
        </w:rPr>
        <w:t>O padrão mais visível nessa tabela é que a concentração na faixa de menos de R$ 100 mil cai progressivamente quando comparamos universidades “pequenas” (56%) com as “grandes” (22%), enquanto a proporção com mais de R$ 300 mil, na mesma direção, também cresce entre universidades maiores (33%), em comparação com as “menores” (6%). As universidades “grandes” declaram orçamentos maiores, o que é lógico e esperado: mais alunos demandam mais recursos. Entretanto, o alto percentual de instituições que não souberam informar dados a respeito do orçamento entre as “grandes” (22%) também é um pouco maior do que nas “pequenas” (17%), sugerindo que, mesmo nas instituições maiores, o setor esportivo pode operar sem centros de custo claramente identificados.</w:t>
      </w:r>
    </w:p>
    <w:p w:rsidR="00E8006B" w:rsidRDefault="009B70C8">
      <w:pPr>
        <w:spacing w:line="360" w:lineRule="auto"/>
        <w:ind w:firstLine="709"/>
        <w:jc w:val="both"/>
        <w:rPr>
          <w:sz w:val="22"/>
          <w:szCs w:val="22"/>
        </w:rPr>
      </w:pPr>
      <w:r>
        <w:rPr>
          <w:sz w:val="22"/>
          <w:szCs w:val="22"/>
        </w:rPr>
        <w:t>A pesquisa também investigou as principais fontes de recursos utilizadas pelas universidades federais. Para 46% das universidades federais (n = 25), a principal fonte de receitas advém de recursos próprios, enquanto para 37% (n = 20) a principal fonte de receitas advém do Programa Nacional de Assistência Estudantil (PNAES). Outras fontes de financiamento, como emendas parlamentares (6%) ou parcerias público-privadas (2%) também foram mencionadas, mas em proporção menor. Embora virtualmente disponível, a captação de recursos externos tende a exigir uma gestão mais profissionalizada, o que nem sempre está presente nas estruturas administrativas das universidades e por isso mesmo ocupa espaço reduzido no financiamento do esporte universitário.</w:t>
      </w:r>
    </w:p>
    <w:p w:rsidR="00E8006B" w:rsidRDefault="009B70C8">
      <w:pPr>
        <w:spacing w:line="360" w:lineRule="auto"/>
        <w:ind w:firstLine="709"/>
        <w:jc w:val="both"/>
        <w:rPr>
          <w:sz w:val="22"/>
          <w:szCs w:val="22"/>
        </w:rPr>
      </w:pPr>
      <w:r>
        <w:rPr>
          <w:sz w:val="22"/>
          <w:szCs w:val="22"/>
        </w:rPr>
        <w:t xml:space="preserve">O uso de recursos próprios como fonte de financiamento mais comum demonstra um reconhecimento, por parte da administração de muitas universidades federais, da importância do esporte na vida universitária. E isto é ainda mais notável diante de um cenário de severos cortes orçamentários que tem ocorrido no âmbito das universidades federais, como destacamos antes. Já o uso de recursos do PNAES como principal fonte de receita para ações nesse setor em 37% das universidades (n = 20) reforça uma concepção assistencialista de esporte, em que essas práticas são enquadradas como parte da política de assistência estudantil (VIEIRA; </w:t>
      </w:r>
      <w:r>
        <w:rPr>
          <w:sz w:val="22"/>
          <w:szCs w:val="22"/>
        </w:rPr>
        <w:lastRenderedPageBreak/>
        <w:t xml:space="preserve">ATHAYDE, 2023), tal como indica também o alto percentual de </w:t>
      </w:r>
      <w:proofErr w:type="spellStart"/>
      <w:r>
        <w:rPr>
          <w:sz w:val="22"/>
          <w:szCs w:val="22"/>
        </w:rPr>
        <w:t>Pro-Reitoria</w:t>
      </w:r>
      <w:proofErr w:type="spellEnd"/>
      <w:r>
        <w:rPr>
          <w:sz w:val="22"/>
          <w:szCs w:val="22"/>
        </w:rPr>
        <w:t xml:space="preserve"> de Assuntos Estudantis, conforme já apontamos antes. </w:t>
      </w:r>
    </w:p>
    <w:p w:rsidR="00E8006B" w:rsidRDefault="009B70C8">
      <w:pPr>
        <w:spacing w:line="360" w:lineRule="auto"/>
        <w:ind w:firstLine="709"/>
        <w:jc w:val="both"/>
        <w:rPr>
          <w:sz w:val="22"/>
          <w:szCs w:val="22"/>
        </w:rPr>
      </w:pPr>
      <w:r>
        <w:rPr>
          <w:sz w:val="22"/>
          <w:szCs w:val="22"/>
        </w:rPr>
        <w:t xml:space="preserve">Além disso, os dados revelam também uma relação de complementaridade entre o PNAES e os recursos próprios. Das universidades federais que apontaram o PNAES como primeira fonte de recursos para suas ações esportivas, 55% também indicaram os recursos próprios como segunda fonte (n = 20). Em sentido contrário, observando as universidades que apontaram os recursos próprios como primeira fonte de recurso para suas ações esportivas, 24% também indicaram o PNAES como segunda fonte (n = 25). Na prática, essa complementaridade indica que as universidades federais buscam combinar diferentes fontes de financiamento para ampliar o alcance de suas ações com relação aos esportes, especialmente os recursos próprios e parte da receita do PNAES, o que apenas reforça a importância que as receitas de programas de assistência estudantil desempenham para o funcionamento do esporte nas universidades federais. Mesmo universidades que têm como principal fonte de financiamento </w:t>
      </w:r>
      <w:proofErr w:type="gramStart"/>
      <w:r>
        <w:rPr>
          <w:sz w:val="22"/>
          <w:szCs w:val="22"/>
        </w:rPr>
        <w:t>do esporte receitas</w:t>
      </w:r>
      <w:proofErr w:type="gramEnd"/>
      <w:r>
        <w:rPr>
          <w:sz w:val="22"/>
          <w:szCs w:val="22"/>
        </w:rPr>
        <w:t xml:space="preserve"> próprias tendem a usar também recursos do PNAES. </w:t>
      </w:r>
    </w:p>
    <w:p w:rsidR="00E8006B" w:rsidRDefault="009B70C8">
      <w:pPr>
        <w:spacing w:line="360" w:lineRule="auto"/>
        <w:ind w:firstLine="709"/>
        <w:jc w:val="both"/>
        <w:rPr>
          <w:sz w:val="22"/>
          <w:szCs w:val="22"/>
        </w:rPr>
      </w:pPr>
      <w:r>
        <w:rPr>
          <w:sz w:val="22"/>
          <w:szCs w:val="22"/>
        </w:rPr>
        <w:t>Quando se observa a fonte principal de receita à luz do porte das universidades, nota-se uma diferença relevante entre instituições menores e maiores. Nas universidades “pequenas”, o PNAES aparece como a principal fonte de financiamento do esporte em 50% das instituições (n = 9), contra 39% que indicam recursos próprios (n = 7). Já nas universidades “médias” e “grandes”, essa relação se inverte: os recursos próprios são a principal fonte em 50% dos casos em ambos os grupos (n = 9 em cada), enquanto o PNAES ocupa essa posição em 22% das “médias” (n = 4) e 39% das “grandes” (n = 7). O dado sugere que as universidades de menor porte tendem a depender mais intensamente do PNAES para financiar suas ações esportivas, o que as torna proporcionalmente mais vulneráveis às mudanças legislativas desse programa, como as introduzidas pela Lei nº 14.914. Considerando o uso do PNAES como primeira ou segunda fonte de recursos, 56% das universidades “pequenas” (n = 10) e 61% das “grandes” (n = 11) utilizam esses recursos em alguma medida, contra 33% das “médias” (n = 6). O uso do PNAES, portanto, é relativamente difundido, tanto entre universidades “pequenas”, quanto entre as “grandes”, mas com uma diferença qualitativa importante: entre as “pequenas”, ele funciona predominantemente como a principal fonte de financiamento, ao passo que entre as “grandes” tende a operar mais como fonte complementar.</w:t>
      </w:r>
    </w:p>
    <w:p w:rsidR="00E8006B" w:rsidRDefault="009B70C8">
      <w:pPr>
        <w:spacing w:line="360" w:lineRule="auto"/>
        <w:ind w:firstLine="709"/>
        <w:jc w:val="both"/>
        <w:rPr>
          <w:sz w:val="22"/>
          <w:szCs w:val="22"/>
        </w:rPr>
      </w:pPr>
      <w:r>
        <w:rPr>
          <w:sz w:val="22"/>
          <w:szCs w:val="22"/>
        </w:rPr>
        <w:t xml:space="preserve">A existência de um setor institucional dedicado ao esporte também aparece associada ao perfil de financiamento. Entre as universidades que possuem setor dedicado, o recurso próprio é a principal fonte de financiamento em 49% dos casos (n = 20) e o PNAES em 41% (n = 17). Nas universidades sem setor dedicado, os recursos próprios também aparecem como a primeira fonte mais citada (38%, n = 5), mas o PNAES aparece como principal fonte em apenas 23% das instituições (n = 3). Chama atenção, nesse último grupo, o fato de que 23% das universidades sem setor (n = 3) não souberam sequer informar qual é sua principal fonte de receita para o esporte, proporção que é zero entre as universidades com setor dedicado. De modo geral, 56% das universidades com setor dedicado utilizam recursos do PNAES em alguma medida (como primeira ou segunda fonte), contra 31% das universidades sem setor. Esses dados reforçam a percepção de que a institucionalização da gestão esportiva está associada a uma maior capacidade de mobilizar e combinar diferentes fontes de financiamento. As universidades sem setor dedicado, além de operarem com orçamentos menores, como já </w:t>
      </w:r>
      <w:r>
        <w:rPr>
          <w:sz w:val="22"/>
          <w:szCs w:val="22"/>
        </w:rPr>
        <w:lastRenderedPageBreak/>
        <w:t>apontado, parecem também ter menor capacidade de identificar e articular as fontes de recursos disponíveis para ações esportivas.</w:t>
      </w:r>
    </w:p>
    <w:p w:rsidR="00E8006B" w:rsidRDefault="009B70C8">
      <w:pPr>
        <w:spacing w:line="360" w:lineRule="auto"/>
        <w:ind w:firstLine="709"/>
        <w:jc w:val="both"/>
        <w:rPr>
          <w:sz w:val="22"/>
          <w:szCs w:val="22"/>
        </w:rPr>
      </w:pPr>
      <w:r>
        <w:rPr>
          <w:sz w:val="22"/>
          <w:szCs w:val="22"/>
        </w:rPr>
        <w:t>Ainda com relação ao orçamento e seus usos, a pesquisa investigou também os mecanismos adotados pelas universidades federais para distribuição desses recursos. Nesse sentido, a pesquisa identificou que 59% das universidades federais (n = 32) adotam editais como ferramenta privilegiada para a gestão de seus recursos. As formas de uso desses recursos, além disso, são variadas, embora se concentrem em itens elementares para a prática cotidiana de esportes ou participação em competições. O auxílio para transporte é o mais comum, oferecido por 83% das instituições, seguido pelo auxílio para equipamentos e materiais esportivos (67%) e para inscrição em competições (58%). Auxílios para hospedagem (32%), uniformes (29%) e contratação de técnicos (14%) são menos frequentes.</w:t>
      </w:r>
    </w:p>
    <w:p w:rsidR="00E8006B" w:rsidRDefault="009B70C8">
      <w:pPr>
        <w:spacing w:line="360" w:lineRule="auto"/>
        <w:ind w:firstLine="709"/>
        <w:jc w:val="both"/>
        <w:rPr>
          <w:sz w:val="22"/>
          <w:szCs w:val="22"/>
        </w:rPr>
      </w:pPr>
      <w:r>
        <w:rPr>
          <w:sz w:val="22"/>
          <w:szCs w:val="22"/>
        </w:rPr>
        <w:t>O uso de editais é um pouco mais frequente entre as universidades que possuem um setor dedicado ao esporte (n = 41), em que 63% delas (n = 26) adotam esse mecanismo, em comparação com as que não possuem, onde o percentual é de 50% (uma universidade não soube responder). Todavia, o fato de que metade das universidades sem setor dedicado ao esporte também utilizem editais sugere que esse instrumento pode operar mesmo em contextos de gestão menos estruturados, ainda que provavelmente com menor regularidade e alcance.</w:t>
      </w:r>
    </w:p>
    <w:p w:rsidR="00E8006B" w:rsidRDefault="009B70C8">
      <w:pPr>
        <w:spacing w:line="360" w:lineRule="auto"/>
        <w:ind w:firstLine="709"/>
        <w:jc w:val="both"/>
        <w:rPr>
          <w:sz w:val="22"/>
          <w:szCs w:val="22"/>
        </w:rPr>
      </w:pPr>
      <w:r>
        <w:rPr>
          <w:sz w:val="22"/>
          <w:szCs w:val="22"/>
        </w:rPr>
        <w:t>A mediana do número de estudantes matriculados é menor nas universidades que adotam o uso de editais (11.500) do que nas universidades que não o fazem (15.000). Todavia, essa diferença reflete sobretudo a maior proporção de universidades “pequenas” entre as que adotam editais (78%), em comparação com as “médias” (44%) e as “grandes” (56%), não uma relação sistemática entre tamanho e adoção desse instrumento. A ampla sobreposição na distribuição do tamanho das universidades entre os dois grupos (entre 3.100 e 45.400 alunos nas instituições que usam editais e entre 3.900 e 52.400 alunos nas que não usam) confirma que o uso de editais é fundamentalmente uma decisão gerencial, não uma consequência direta do porte da instituição.</w:t>
      </w:r>
    </w:p>
    <w:p w:rsidR="00E8006B" w:rsidRDefault="00E8006B">
      <w:pPr>
        <w:spacing w:line="360" w:lineRule="auto"/>
        <w:ind w:firstLine="851"/>
        <w:jc w:val="both"/>
        <w:rPr>
          <w:sz w:val="22"/>
          <w:szCs w:val="22"/>
        </w:rPr>
      </w:pPr>
    </w:p>
    <w:p w:rsidR="00E8006B" w:rsidRDefault="009B70C8">
      <w:pPr>
        <w:spacing w:line="360" w:lineRule="auto"/>
        <w:rPr>
          <w:b/>
          <w:bCs/>
          <w:sz w:val="22"/>
          <w:szCs w:val="22"/>
        </w:rPr>
      </w:pPr>
      <w:r>
        <w:rPr>
          <w:b/>
          <w:bCs/>
          <w:sz w:val="22"/>
          <w:szCs w:val="22"/>
        </w:rPr>
        <w:t>5 - RECURSOS HUMANOS</w:t>
      </w:r>
    </w:p>
    <w:p w:rsidR="00E8006B" w:rsidRDefault="00E8006B">
      <w:pPr>
        <w:spacing w:line="360" w:lineRule="auto"/>
        <w:rPr>
          <w:sz w:val="22"/>
          <w:szCs w:val="22"/>
        </w:rPr>
      </w:pPr>
    </w:p>
    <w:p w:rsidR="00E8006B" w:rsidRDefault="009B70C8">
      <w:pPr>
        <w:spacing w:line="360" w:lineRule="auto"/>
        <w:ind w:firstLine="709"/>
        <w:jc w:val="both"/>
        <w:rPr>
          <w:sz w:val="22"/>
          <w:szCs w:val="22"/>
        </w:rPr>
      </w:pPr>
      <w:r>
        <w:rPr>
          <w:sz w:val="22"/>
          <w:szCs w:val="22"/>
        </w:rPr>
        <w:t xml:space="preserve">Para ser eficaz, a gestão </w:t>
      </w:r>
      <w:proofErr w:type="gramStart"/>
      <w:r>
        <w:rPr>
          <w:sz w:val="22"/>
          <w:szCs w:val="22"/>
        </w:rPr>
        <w:t>do esporte demanda</w:t>
      </w:r>
      <w:proofErr w:type="gramEnd"/>
      <w:r>
        <w:rPr>
          <w:sz w:val="22"/>
          <w:szCs w:val="22"/>
        </w:rPr>
        <w:t xml:space="preserve"> não apenas uma estrutura institucional e orçamentos, mas também recursos humanos. A pesquisa, portanto, também investigou a disponibilidade de técnicos desportivos nos quadros efetivos das universidades federais, um indicador da disponibilidade de recursos humanos especialmente dedicados para a área de esportes da universidade.</w:t>
      </w:r>
    </w:p>
    <w:p w:rsidR="00E8006B" w:rsidRDefault="009B70C8">
      <w:pPr>
        <w:spacing w:line="360" w:lineRule="auto"/>
        <w:ind w:firstLine="709"/>
        <w:jc w:val="both"/>
        <w:rPr>
          <w:sz w:val="22"/>
          <w:szCs w:val="22"/>
        </w:rPr>
      </w:pPr>
      <w:r>
        <w:rPr>
          <w:sz w:val="22"/>
          <w:szCs w:val="22"/>
        </w:rPr>
        <w:t>O técnico desportivo é um cargo do serviço público federal previsto no Plano de Carreira dos Cargos Técnico-Administrativos em Educação. As funções específicas deste profissional, contudo, variam de acordo com o arranjo de cada universidade. De modo geral, no entanto, suas atividades habitualmente incluem gestão de treinamentos, organização de eventos e gestão de infraestrutura. Segundo os dados desta pesquisa, 46% das universidades federais (n = 25) possuem técnicos desportivos em seus quadros, enquanto 52% (n = 28) declararam não possuir esses profissionais (uma universidade não soube responder, n = 1, 2%).</w:t>
      </w:r>
    </w:p>
    <w:p w:rsidR="00E8006B" w:rsidRDefault="009B70C8">
      <w:pPr>
        <w:spacing w:line="360" w:lineRule="auto"/>
        <w:ind w:firstLine="709"/>
        <w:jc w:val="both"/>
        <w:rPr>
          <w:sz w:val="22"/>
          <w:szCs w:val="22"/>
        </w:rPr>
      </w:pPr>
      <w:r>
        <w:rPr>
          <w:sz w:val="22"/>
          <w:szCs w:val="22"/>
        </w:rPr>
        <w:t xml:space="preserve">A distribuição desses profissionais entre as instituições é marcadamente desigual e guarda relação com a existência ou não de setor dedicado ao esporte. Entre as universidades que possuem setor dedicado, 56% </w:t>
      </w:r>
      <w:r>
        <w:rPr>
          <w:sz w:val="22"/>
          <w:szCs w:val="22"/>
        </w:rPr>
        <w:lastRenderedPageBreak/>
        <w:t xml:space="preserve">contam com a figura do técnico desportivo em seus quadros. Entre as que não possuem setor, porém, esse percentual cai para apenas 15%. </w:t>
      </w:r>
    </w:p>
    <w:p w:rsidR="00E8006B" w:rsidRDefault="009B70C8">
      <w:pPr>
        <w:spacing w:line="360" w:lineRule="auto"/>
        <w:ind w:firstLine="709"/>
        <w:jc w:val="both"/>
        <w:rPr>
          <w:sz w:val="22"/>
          <w:szCs w:val="22"/>
        </w:rPr>
      </w:pPr>
      <w:r>
        <w:rPr>
          <w:sz w:val="22"/>
          <w:szCs w:val="22"/>
        </w:rPr>
        <w:t>Do mesmo modo, ainda que em desproporções menos acentuadas, entre as universidades que possuem técnico desportivo (n = 25), 24% operam com orçamento de mais de R$ 300 mil anuais (n = 6), proporção que é de 10% (n = 3) nas universidades que não possuem esse cargo em seus quadros (n = 28). No extremo oposto, 14% das universidades sem técnico desportivo declararam ausência total de orçamento (n = 4), contra apenas 4% das universidades que contam com técnico desportivo. Ou seja, as universidades com técnico desportivo aparecem mais concentradas nas faixas superiores de orçamento disponível para essa área de atuação. Esse padrão sugere que a institucionalização formal do esporte na estrutura institucional das universidades e a disponibilidade de recursos humanos especializados tendem a caminhar juntas.</w:t>
      </w:r>
    </w:p>
    <w:p w:rsidR="00E8006B" w:rsidRDefault="00E8006B">
      <w:pPr>
        <w:spacing w:line="360" w:lineRule="auto"/>
        <w:rPr>
          <w:b/>
          <w:bCs/>
          <w:sz w:val="22"/>
          <w:szCs w:val="22"/>
        </w:rPr>
      </w:pPr>
    </w:p>
    <w:p w:rsidR="00E8006B" w:rsidRDefault="009B70C8">
      <w:pPr>
        <w:spacing w:line="360" w:lineRule="auto"/>
        <w:rPr>
          <w:b/>
          <w:bCs/>
          <w:sz w:val="22"/>
          <w:szCs w:val="22"/>
        </w:rPr>
      </w:pPr>
      <w:r>
        <w:rPr>
          <w:b/>
          <w:bCs/>
          <w:sz w:val="22"/>
          <w:szCs w:val="22"/>
        </w:rPr>
        <w:t>6 - INFRAESTRUTURA</w:t>
      </w:r>
    </w:p>
    <w:p w:rsidR="00E8006B" w:rsidRDefault="00E8006B">
      <w:pPr>
        <w:spacing w:line="360" w:lineRule="auto"/>
        <w:rPr>
          <w:sz w:val="22"/>
          <w:szCs w:val="22"/>
        </w:rPr>
      </w:pPr>
    </w:p>
    <w:p w:rsidR="00E8006B" w:rsidRDefault="009B70C8">
      <w:pPr>
        <w:spacing w:line="360" w:lineRule="auto"/>
        <w:ind w:firstLine="709"/>
        <w:jc w:val="both"/>
        <w:rPr>
          <w:sz w:val="22"/>
          <w:szCs w:val="22"/>
        </w:rPr>
      </w:pPr>
      <w:r>
        <w:rPr>
          <w:sz w:val="22"/>
          <w:szCs w:val="22"/>
        </w:rPr>
        <w:t xml:space="preserve">Outro aspecto fundamental da gestão de uma política setorial de esportes é a infraestrutura física disponível. Nesse sentido, a pesquisa também investigou a percepção de representantes das universidades federais a respeito desse tópico. Mais especificamente, adotando uma escala </w:t>
      </w:r>
      <w:proofErr w:type="spellStart"/>
      <w:r>
        <w:rPr>
          <w:sz w:val="22"/>
          <w:szCs w:val="22"/>
        </w:rPr>
        <w:t>Likert</w:t>
      </w:r>
      <w:proofErr w:type="spellEnd"/>
      <w:r>
        <w:rPr>
          <w:sz w:val="22"/>
          <w:szCs w:val="22"/>
        </w:rPr>
        <w:t xml:space="preserve"> de 1 a 5, onde 1 indicava “muito ruim” e 5 indicava “muito bom”, a pesquisa indagou acerca de 5 dimensões relativas a essa infraestrutura: disponibilidade, variedade, condições estruturais, quantidade e limpeza e manutenção. A média geral dessa avaliação resulta em um score de 3, indicando uma situação que pode ser classificada como intermediária ou regular, segundo a percepção dos participantes da pesquisa (Gráfico 4).</w:t>
      </w:r>
    </w:p>
    <w:p w:rsidR="00E8006B" w:rsidRDefault="00E8006B">
      <w:pPr>
        <w:spacing w:line="360" w:lineRule="auto"/>
        <w:rPr>
          <w:b/>
          <w:bCs/>
          <w:sz w:val="22"/>
          <w:szCs w:val="22"/>
        </w:rPr>
      </w:pPr>
    </w:p>
    <w:p w:rsidR="00E8006B" w:rsidRDefault="009B70C8">
      <w:pPr>
        <w:spacing w:line="360" w:lineRule="auto"/>
        <w:jc w:val="center"/>
        <w:rPr>
          <w:sz w:val="22"/>
          <w:szCs w:val="22"/>
        </w:rPr>
      </w:pPr>
      <w:r>
        <w:rPr>
          <w:noProof/>
        </w:rPr>
        <w:drawing>
          <wp:inline distT="0" distB="0" distL="0" distR="0">
            <wp:extent cx="4924425" cy="2645410"/>
            <wp:effectExtent l="0" t="0" r="0" b="0"/>
            <wp:docPr id="5" name="Objeto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b/>
          <w:bCs/>
          <w:sz w:val="20"/>
          <w:szCs w:val="20"/>
        </w:rPr>
        <w:t>Gráfico 4 – Scores médios da percepção sobre infraestrutura de esportes</w:t>
      </w:r>
    </w:p>
    <w:p w:rsidR="00E8006B" w:rsidRDefault="00E8006B">
      <w:pPr>
        <w:spacing w:line="360" w:lineRule="auto"/>
        <w:ind w:firstLine="851"/>
        <w:jc w:val="both"/>
        <w:rPr>
          <w:sz w:val="22"/>
          <w:szCs w:val="22"/>
        </w:rPr>
      </w:pPr>
    </w:p>
    <w:p w:rsidR="00E8006B" w:rsidRDefault="009B70C8">
      <w:pPr>
        <w:spacing w:line="360" w:lineRule="auto"/>
        <w:ind w:firstLine="709"/>
        <w:jc w:val="both"/>
        <w:rPr>
          <w:sz w:val="22"/>
          <w:szCs w:val="22"/>
        </w:rPr>
      </w:pPr>
      <w:r>
        <w:rPr>
          <w:sz w:val="22"/>
          <w:szCs w:val="22"/>
        </w:rPr>
        <w:t xml:space="preserve">Nenhuma das cinco dimensões avaliadas se destaca de forma expressiva. A “limpeza” e a “disponibilidade” dos espaços foram as dimensões consideradas com avaliações ligeiramente mais favoráveis, ambas com média de 3,2. Já a “quantidade” e as “condições” das instalações foram os aspectos mais mal </w:t>
      </w:r>
      <w:r>
        <w:rPr>
          <w:sz w:val="22"/>
          <w:szCs w:val="22"/>
        </w:rPr>
        <w:lastRenderedPageBreak/>
        <w:t>avaliados, ambos com média de 2,8. O quadro geral é de uma infraestrutura que parece atender de forma apenas regular às necessidades do esporte universitário.</w:t>
      </w:r>
    </w:p>
    <w:p w:rsidR="00E8006B" w:rsidRDefault="009B70C8">
      <w:pPr>
        <w:spacing w:line="360" w:lineRule="auto"/>
        <w:ind w:firstLine="709"/>
        <w:jc w:val="both"/>
        <w:rPr>
          <w:sz w:val="22"/>
          <w:szCs w:val="22"/>
        </w:rPr>
      </w:pPr>
      <w:r>
        <w:rPr>
          <w:sz w:val="22"/>
          <w:szCs w:val="22"/>
        </w:rPr>
        <w:t xml:space="preserve">Não há diferenças significativas entre o score médio geral da percepção de qualidade entre universidades que contam com algum setor institucional dedicado à gestão do esporte e aquelas que não </w:t>
      </w:r>
      <w:proofErr w:type="spellStart"/>
      <w:r>
        <w:rPr>
          <w:sz w:val="22"/>
          <w:szCs w:val="22"/>
        </w:rPr>
        <w:t>o</w:t>
      </w:r>
      <w:proofErr w:type="spellEnd"/>
      <w:r>
        <w:rPr>
          <w:sz w:val="22"/>
          <w:szCs w:val="22"/>
        </w:rPr>
        <w:t xml:space="preserve"> possuem. Não se nota também nenhuma relação clara entre o tamanho da universidade e a percepção da qualidade de infraestrutura. Universidades “grandes”, “médias” e “pequenas” apresentam avaliações semelhantes (média geral de 2,9, 2,9 e 3,1, respectivamente), o que sugere que a quantidade de estudantes atendidos não se traduz em infraestrutura melhor ou pior, de acordo com a percepção dos respondentes desta pesquisa. </w:t>
      </w:r>
    </w:p>
    <w:p w:rsidR="00E8006B" w:rsidRDefault="009B70C8">
      <w:pPr>
        <w:spacing w:line="360" w:lineRule="auto"/>
        <w:ind w:firstLine="709"/>
        <w:jc w:val="both"/>
        <w:rPr>
          <w:sz w:val="22"/>
          <w:szCs w:val="22"/>
        </w:rPr>
      </w:pPr>
      <w:r>
        <w:rPr>
          <w:sz w:val="22"/>
          <w:szCs w:val="22"/>
        </w:rPr>
        <w:t>De outro modo, porém, nota-se um padrão relativamente diferente para esta percepção de qualidade da infraestrutura esportiva entre as universidades, quando vistas à luz de seus respectivos orçamentos disponíveis para o setor esportivo. As universidades que declararam não ter orçamento para o esporte apresentam uma média de infraestrutura de 2,2, abaixo, portanto, da média geral, que é 3. Já as que operam com menos de R$ 100 mil têm média de 3, enquanto as que dispõem de mais de R$ 300 mil anuais de orçamento têm média de 3,5. Mais recursos, portanto, parecem estar associados a melhores percepções sobre as instalações.</w:t>
      </w:r>
    </w:p>
    <w:p w:rsidR="00E8006B" w:rsidRDefault="00E8006B">
      <w:pPr>
        <w:spacing w:line="360" w:lineRule="auto"/>
        <w:rPr>
          <w:b/>
          <w:bCs/>
          <w:sz w:val="22"/>
          <w:szCs w:val="22"/>
        </w:rPr>
      </w:pPr>
    </w:p>
    <w:p w:rsidR="00E8006B" w:rsidRDefault="00E8006B">
      <w:pPr>
        <w:spacing w:line="360" w:lineRule="auto"/>
        <w:rPr>
          <w:b/>
          <w:bCs/>
          <w:sz w:val="22"/>
          <w:szCs w:val="22"/>
        </w:rPr>
      </w:pPr>
    </w:p>
    <w:p w:rsidR="00E8006B" w:rsidRDefault="009B70C8">
      <w:pPr>
        <w:spacing w:line="360" w:lineRule="auto"/>
        <w:rPr>
          <w:sz w:val="22"/>
          <w:szCs w:val="22"/>
        </w:rPr>
      </w:pPr>
      <w:r>
        <w:rPr>
          <w:b/>
          <w:bCs/>
          <w:sz w:val="22"/>
          <w:szCs w:val="22"/>
        </w:rPr>
        <w:t>7 - PARTICIPAÇÃO ESTUDANTIL</w:t>
      </w:r>
    </w:p>
    <w:p w:rsidR="00E8006B" w:rsidRDefault="00E8006B">
      <w:pPr>
        <w:spacing w:line="360" w:lineRule="auto"/>
        <w:jc w:val="both"/>
        <w:rPr>
          <w:sz w:val="22"/>
          <w:szCs w:val="22"/>
        </w:rPr>
      </w:pPr>
    </w:p>
    <w:p w:rsidR="00E8006B" w:rsidRDefault="009B70C8">
      <w:pPr>
        <w:spacing w:line="360" w:lineRule="auto"/>
        <w:ind w:firstLine="709"/>
        <w:jc w:val="both"/>
        <w:rPr>
          <w:sz w:val="22"/>
          <w:szCs w:val="22"/>
        </w:rPr>
      </w:pPr>
      <w:r>
        <w:rPr>
          <w:sz w:val="22"/>
          <w:szCs w:val="22"/>
        </w:rPr>
        <w:t xml:space="preserve">Sabendo que as associações atléticas e seus agentes organizam treinos, formam equipes, promovem eventos e, principalmente, constroem sentimentos de identidade e laços de pertencimento entre estudantes, conforme apontado já por diferentes autores (MARTINELI; RIBEIRO; SILVA, 2023; PEREIRA; SILVA, 2019), a pesquisa também analisou o número dessas organizações em cada uma das universidades consideradas aqui. Com efeito, as associações esportivas estudantis podem desempenhar um papel especialmente poderoso na formação universitária, justificando mais atenção a essa faceta por vezes negligenciada do cotidiano das universidades. Pesquisas como a de Kerry </w:t>
      </w:r>
      <w:proofErr w:type="spellStart"/>
      <w:r>
        <w:rPr>
          <w:sz w:val="22"/>
          <w:szCs w:val="22"/>
        </w:rPr>
        <w:t>Griffiths</w:t>
      </w:r>
      <w:proofErr w:type="spellEnd"/>
      <w:r>
        <w:rPr>
          <w:sz w:val="22"/>
          <w:szCs w:val="22"/>
        </w:rPr>
        <w:t xml:space="preserve"> e colaboradores (2017), realizadas a partir de uma extensa base de dados da Grã-Bretanha e que analisaram os efeitos da prática de esportes na universidade sobre a posterior vida profissional de estudantes, concluiu que aqueles que praticam esportes durante esse período, ao ingressarem no mercado de trabalho, ganham mais, ocupam posições de liderança em maior proporção e passam menos tempo desempregados. Todavia, no que talvez seja o aspecto mais revelador desse estudo, os autores concluíram também que todos esses efeitos são ainda significativamente maiores quando o estudante, além de praticar esportes, se envolve com a organização de eventos e com a gestão de associações esportivas universitárias. Ou seja, praticar esportes na universidade é bom, mas se envolver com a gestão das associações esportivas é ainda melhor. </w:t>
      </w:r>
    </w:p>
    <w:p w:rsidR="00E8006B" w:rsidRDefault="009B70C8">
      <w:pPr>
        <w:spacing w:line="360" w:lineRule="auto"/>
        <w:ind w:firstLine="709"/>
        <w:jc w:val="both"/>
        <w:rPr>
          <w:sz w:val="22"/>
          <w:szCs w:val="22"/>
        </w:rPr>
      </w:pPr>
      <w:r>
        <w:rPr>
          <w:sz w:val="22"/>
          <w:szCs w:val="22"/>
        </w:rPr>
        <w:t xml:space="preserve">O associativismo estudantil nas universidades federais revela-se expressivo em termos quantitativos. Considerando as 50 instituições que informaram esse dado, 40% possuem mais de 16 atléticas atuantes (n = 20), 24% possuem entre 11 e 15 (n = 12), 18% entre 6 e 10 (n = 9) e 18% entre 1 e 5 (n = 9). Apenas 4 </w:t>
      </w:r>
      <w:r>
        <w:rPr>
          <w:sz w:val="22"/>
          <w:szCs w:val="22"/>
        </w:rPr>
        <w:lastRenderedPageBreak/>
        <w:t>universidades declararam não saber responder, o que menos do que uma inexistência propriamente dita, pode sugerir apenas desconhecimento da administração central com relação ao movimento esportivo estudantil.</w:t>
      </w:r>
    </w:p>
    <w:p w:rsidR="00E8006B" w:rsidRDefault="009B70C8">
      <w:pPr>
        <w:spacing w:line="360" w:lineRule="auto"/>
        <w:ind w:firstLine="709"/>
        <w:jc w:val="both"/>
        <w:rPr>
          <w:sz w:val="22"/>
          <w:szCs w:val="22"/>
        </w:rPr>
      </w:pPr>
      <w:r>
        <w:rPr>
          <w:sz w:val="22"/>
          <w:szCs w:val="22"/>
        </w:rPr>
        <w:t>Ao analisar a relação entre o tamanho das instituições e a quantidade de associações atléticas estudantis, observa-se que existe uma relação geral entre essas variáveis. Universidades com até 5 atléticas possuem, em média, 10.622 alunos de graduação. Esse valor sobe para 12.844 e 11.767 alunos nas duas faixas seguintes, que reúnem universidades que possuem de 6 a 10 e de 11 a 15 atléticas, respectivamente. O salto mais expressivo, no entanto, é observado nas instituições com mais de 16 atléticas, cuja média atinge 24.380 alunos (ver Tabela 3). Tais evidências indicam que o tamanho da instituição, de fato, como seria de se esperar, está relacionado com o tamanho do associativismo esportivo estudantil de cada universidade, afinal, quanto mais estudantes em um campus, maiores tendem a ser as possibilidades organizacionais.</w:t>
      </w:r>
    </w:p>
    <w:p w:rsidR="00E8006B" w:rsidRDefault="00E8006B">
      <w:pPr>
        <w:spacing w:line="360" w:lineRule="auto"/>
        <w:jc w:val="both"/>
        <w:rPr>
          <w:sz w:val="22"/>
          <w:szCs w:val="22"/>
        </w:rPr>
      </w:pPr>
    </w:p>
    <w:tbl>
      <w:tblPr>
        <w:tblStyle w:val="Tabelacomgrade"/>
        <w:tblW w:w="7508" w:type="dxa"/>
        <w:jc w:val="center"/>
        <w:tblLayout w:type="fixed"/>
        <w:tblLook w:val="04A0" w:firstRow="1" w:lastRow="0" w:firstColumn="1" w:lastColumn="0" w:noHBand="0" w:noVBand="1"/>
      </w:tblPr>
      <w:tblGrid>
        <w:gridCol w:w="2925"/>
        <w:gridCol w:w="1039"/>
        <w:gridCol w:w="3544"/>
      </w:tblGrid>
      <w:tr w:rsidR="00E8006B">
        <w:trPr>
          <w:jc w:val="center"/>
        </w:trPr>
        <w:tc>
          <w:tcPr>
            <w:tcW w:w="2925" w:type="dxa"/>
            <w:tcBorders>
              <w:top w:val="nil"/>
              <w:left w:val="nil"/>
            </w:tcBorders>
            <w:vAlign w:val="center"/>
          </w:tcPr>
          <w:p w:rsidR="00E8006B" w:rsidRDefault="009B70C8">
            <w:pPr>
              <w:spacing w:line="360" w:lineRule="auto"/>
              <w:jc w:val="center"/>
              <w:rPr>
                <w:sz w:val="22"/>
                <w:szCs w:val="22"/>
              </w:rPr>
            </w:pPr>
            <w:r>
              <w:rPr>
                <w:sz w:val="22"/>
                <w:szCs w:val="22"/>
              </w:rPr>
              <w:t>Nº de Atléticas</w:t>
            </w:r>
          </w:p>
        </w:tc>
        <w:tc>
          <w:tcPr>
            <w:tcW w:w="1039" w:type="dxa"/>
            <w:tcBorders>
              <w:top w:val="nil"/>
            </w:tcBorders>
            <w:vAlign w:val="center"/>
          </w:tcPr>
          <w:p w:rsidR="00E8006B" w:rsidRDefault="009B70C8">
            <w:pPr>
              <w:spacing w:line="360" w:lineRule="auto"/>
              <w:jc w:val="center"/>
              <w:rPr>
                <w:sz w:val="22"/>
                <w:szCs w:val="22"/>
              </w:rPr>
            </w:pPr>
            <w:r>
              <w:rPr>
                <w:sz w:val="22"/>
                <w:szCs w:val="22"/>
              </w:rPr>
              <w:t>N</w:t>
            </w:r>
          </w:p>
        </w:tc>
        <w:tc>
          <w:tcPr>
            <w:tcW w:w="3544" w:type="dxa"/>
            <w:tcBorders>
              <w:top w:val="nil"/>
              <w:right w:val="nil"/>
            </w:tcBorders>
            <w:vAlign w:val="center"/>
          </w:tcPr>
          <w:p w:rsidR="00E8006B" w:rsidRDefault="009B70C8">
            <w:pPr>
              <w:spacing w:line="360" w:lineRule="auto"/>
              <w:jc w:val="center"/>
              <w:rPr>
                <w:sz w:val="22"/>
                <w:szCs w:val="22"/>
              </w:rPr>
            </w:pPr>
            <w:r>
              <w:rPr>
                <w:sz w:val="22"/>
                <w:szCs w:val="22"/>
              </w:rPr>
              <w:t>Média de Alunos (Graduação)</w:t>
            </w:r>
          </w:p>
        </w:tc>
      </w:tr>
      <w:tr w:rsidR="00E8006B">
        <w:trPr>
          <w:jc w:val="center"/>
        </w:trPr>
        <w:tc>
          <w:tcPr>
            <w:tcW w:w="2925" w:type="dxa"/>
            <w:tcBorders>
              <w:left w:val="nil"/>
              <w:bottom w:val="nil"/>
            </w:tcBorders>
            <w:vAlign w:val="center"/>
          </w:tcPr>
          <w:p w:rsidR="00E8006B" w:rsidRDefault="009B70C8">
            <w:pPr>
              <w:spacing w:line="360" w:lineRule="auto"/>
              <w:jc w:val="center"/>
              <w:rPr>
                <w:sz w:val="22"/>
                <w:szCs w:val="22"/>
              </w:rPr>
            </w:pPr>
            <w:r>
              <w:rPr>
                <w:sz w:val="22"/>
                <w:szCs w:val="22"/>
              </w:rPr>
              <w:t>1-5</w:t>
            </w:r>
          </w:p>
        </w:tc>
        <w:tc>
          <w:tcPr>
            <w:tcW w:w="1039" w:type="dxa"/>
            <w:tcBorders>
              <w:bottom w:val="nil"/>
            </w:tcBorders>
            <w:vAlign w:val="center"/>
          </w:tcPr>
          <w:p w:rsidR="00E8006B" w:rsidRDefault="009B70C8">
            <w:pPr>
              <w:spacing w:line="360" w:lineRule="auto"/>
              <w:jc w:val="center"/>
              <w:rPr>
                <w:sz w:val="22"/>
                <w:szCs w:val="22"/>
              </w:rPr>
            </w:pPr>
            <w:r>
              <w:rPr>
                <w:sz w:val="22"/>
                <w:szCs w:val="22"/>
              </w:rPr>
              <w:t>9</w:t>
            </w:r>
          </w:p>
        </w:tc>
        <w:tc>
          <w:tcPr>
            <w:tcW w:w="3544" w:type="dxa"/>
            <w:tcBorders>
              <w:bottom w:val="nil"/>
              <w:right w:val="nil"/>
            </w:tcBorders>
            <w:vAlign w:val="center"/>
          </w:tcPr>
          <w:p w:rsidR="00E8006B" w:rsidRDefault="009B70C8">
            <w:pPr>
              <w:spacing w:line="360" w:lineRule="auto"/>
              <w:jc w:val="center"/>
              <w:rPr>
                <w:sz w:val="22"/>
                <w:szCs w:val="22"/>
              </w:rPr>
            </w:pPr>
            <w:r>
              <w:rPr>
                <w:sz w:val="22"/>
                <w:szCs w:val="22"/>
              </w:rPr>
              <w:t>10.622</w:t>
            </w:r>
          </w:p>
        </w:tc>
      </w:tr>
      <w:tr w:rsidR="00E8006B">
        <w:trPr>
          <w:jc w:val="center"/>
        </w:trPr>
        <w:tc>
          <w:tcPr>
            <w:tcW w:w="2925" w:type="dxa"/>
            <w:tcBorders>
              <w:top w:val="nil"/>
              <w:left w:val="nil"/>
              <w:bottom w:val="nil"/>
            </w:tcBorders>
            <w:vAlign w:val="center"/>
          </w:tcPr>
          <w:p w:rsidR="00E8006B" w:rsidRDefault="009B70C8">
            <w:pPr>
              <w:spacing w:line="360" w:lineRule="auto"/>
              <w:jc w:val="center"/>
              <w:rPr>
                <w:sz w:val="22"/>
                <w:szCs w:val="22"/>
              </w:rPr>
            </w:pPr>
            <w:r>
              <w:rPr>
                <w:sz w:val="22"/>
                <w:szCs w:val="22"/>
              </w:rPr>
              <w:t>6-10</w:t>
            </w:r>
          </w:p>
        </w:tc>
        <w:tc>
          <w:tcPr>
            <w:tcW w:w="1039" w:type="dxa"/>
            <w:tcBorders>
              <w:top w:val="nil"/>
              <w:bottom w:val="nil"/>
            </w:tcBorders>
            <w:vAlign w:val="center"/>
          </w:tcPr>
          <w:p w:rsidR="00E8006B" w:rsidRDefault="009B70C8">
            <w:pPr>
              <w:spacing w:line="360" w:lineRule="auto"/>
              <w:jc w:val="center"/>
              <w:rPr>
                <w:sz w:val="22"/>
                <w:szCs w:val="22"/>
              </w:rPr>
            </w:pPr>
            <w:r>
              <w:rPr>
                <w:sz w:val="22"/>
                <w:szCs w:val="22"/>
              </w:rPr>
              <w:t>9</w:t>
            </w:r>
          </w:p>
        </w:tc>
        <w:tc>
          <w:tcPr>
            <w:tcW w:w="3544" w:type="dxa"/>
            <w:tcBorders>
              <w:top w:val="nil"/>
              <w:bottom w:val="nil"/>
              <w:right w:val="nil"/>
            </w:tcBorders>
            <w:vAlign w:val="center"/>
          </w:tcPr>
          <w:p w:rsidR="00E8006B" w:rsidRDefault="009B70C8">
            <w:pPr>
              <w:spacing w:line="360" w:lineRule="auto"/>
              <w:jc w:val="center"/>
              <w:rPr>
                <w:sz w:val="22"/>
                <w:szCs w:val="22"/>
              </w:rPr>
            </w:pPr>
            <w:r>
              <w:rPr>
                <w:sz w:val="22"/>
                <w:szCs w:val="22"/>
              </w:rPr>
              <w:t>12.844</w:t>
            </w:r>
          </w:p>
        </w:tc>
      </w:tr>
      <w:tr w:rsidR="00E8006B">
        <w:trPr>
          <w:jc w:val="center"/>
        </w:trPr>
        <w:tc>
          <w:tcPr>
            <w:tcW w:w="2925" w:type="dxa"/>
            <w:tcBorders>
              <w:top w:val="nil"/>
              <w:left w:val="nil"/>
              <w:bottom w:val="nil"/>
            </w:tcBorders>
            <w:vAlign w:val="center"/>
          </w:tcPr>
          <w:p w:rsidR="00E8006B" w:rsidRDefault="009B70C8">
            <w:pPr>
              <w:spacing w:line="360" w:lineRule="auto"/>
              <w:jc w:val="center"/>
              <w:rPr>
                <w:sz w:val="22"/>
                <w:szCs w:val="22"/>
              </w:rPr>
            </w:pPr>
            <w:r>
              <w:rPr>
                <w:sz w:val="22"/>
                <w:szCs w:val="22"/>
              </w:rPr>
              <w:t>11-15</w:t>
            </w:r>
          </w:p>
        </w:tc>
        <w:tc>
          <w:tcPr>
            <w:tcW w:w="1039" w:type="dxa"/>
            <w:tcBorders>
              <w:top w:val="nil"/>
              <w:bottom w:val="nil"/>
            </w:tcBorders>
            <w:vAlign w:val="center"/>
          </w:tcPr>
          <w:p w:rsidR="00E8006B" w:rsidRDefault="009B70C8">
            <w:pPr>
              <w:spacing w:line="360" w:lineRule="auto"/>
              <w:jc w:val="center"/>
              <w:rPr>
                <w:sz w:val="22"/>
                <w:szCs w:val="22"/>
              </w:rPr>
            </w:pPr>
            <w:r>
              <w:rPr>
                <w:sz w:val="22"/>
                <w:szCs w:val="22"/>
              </w:rPr>
              <w:t>12</w:t>
            </w:r>
          </w:p>
        </w:tc>
        <w:tc>
          <w:tcPr>
            <w:tcW w:w="3544" w:type="dxa"/>
            <w:tcBorders>
              <w:top w:val="nil"/>
              <w:bottom w:val="nil"/>
              <w:right w:val="nil"/>
            </w:tcBorders>
            <w:vAlign w:val="center"/>
          </w:tcPr>
          <w:p w:rsidR="00E8006B" w:rsidRDefault="009B70C8">
            <w:pPr>
              <w:spacing w:line="360" w:lineRule="auto"/>
              <w:jc w:val="center"/>
              <w:rPr>
                <w:sz w:val="22"/>
                <w:szCs w:val="22"/>
              </w:rPr>
            </w:pPr>
            <w:r>
              <w:rPr>
                <w:sz w:val="22"/>
                <w:szCs w:val="22"/>
              </w:rPr>
              <w:t>11.767</w:t>
            </w:r>
          </w:p>
        </w:tc>
      </w:tr>
      <w:tr w:rsidR="00E8006B">
        <w:trPr>
          <w:jc w:val="center"/>
        </w:trPr>
        <w:tc>
          <w:tcPr>
            <w:tcW w:w="2925" w:type="dxa"/>
            <w:tcBorders>
              <w:top w:val="nil"/>
              <w:left w:val="nil"/>
              <w:bottom w:val="nil"/>
            </w:tcBorders>
            <w:vAlign w:val="center"/>
          </w:tcPr>
          <w:p w:rsidR="00E8006B" w:rsidRDefault="009B70C8">
            <w:pPr>
              <w:spacing w:line="360" w:lineRule="auto"/>
              <w:jc w:val="center"/>
              <w:rPr>
                <w:sz w:val="22"/>
                <w:szCs w:val="22"/>
              </w:rPr>
            </w:pPr>
            <w:r>
              <w:rPr>
                <w:sz w:val="22"/>
                <w:szCs w:val="22"/>
              </w:rPr>
              <w:t>Mais de 16</w:t>
            </w:r>
          </w:p>
        </w:tc>
        <w:tc>
          <w:tcPr>
            <w:tcW w:w="1039" w:type="dxa"/>
            <w:tcBorders>
              <w:top w:val="nil"/>
              <w:bottom w:val="nil"/>
            </w:tcBorders>
            <w:vAlign w:val="center"/>
          </w:tcPr>
          <w:p w:rsidR="00E8006B" w:rsidRDefault="009B70C8">
            <w:pPr>
              <w:spacing w:line="360" w:lineRule="auto"/>
              <w:jc w:val="center"/>
              <w:rPr>
                <w:sz w:val="22"/>
                <w:szCs w:val="22"/>
              </w:rPr>
            </w:pPr>
            <w:r>
              <w:rPr>
                <w:sz w:val="22"/>
                <w:szCs w:val="22"/>
              </w:rPr>
              <w:t>20</w:t>
            </w:r>
          </w:p>
        </w:tc>
        <w:tc>
          <w:tcPr>
            <w:tcW w:w="3544" w:type="dxa"/>
            <w:tcBorders>
              <w:top w:val="nil"/>
              <w:bottom w:val="nil"/>
              <w:right w:val="nil"/>
            </w:tcBorders>
            <w:vAlign w:val="center"/>
          </w:tcPr>
          <w:p w:rsidR="00E8006B" w:rsidRDefault="009B70C8">
            <w:pPr>
              <w:spacing w:line="360" w:lineRule="auto"/>
              <w:jc w:val="center"/>
              <w:rPr>
                <w:sz w:val="22"/>
                <w:szCs w:val="22"/>
              </w:rPr>
            </w:pPr>
            <w:r>
              <w:rPr>
                <w:sz w:val="22"/>
                <w:szCs w:val="22"/>
              </w:rPr>
              <w:t>24.380</w:t>
            </w:r>
          </w:p>
        </w:tc>
      </w:tr>
    </w:tbl>
    <w:p w:rsidR="00E8006B" w:rsidRDefault="009B70C8">
      <w:pPr>
        <w:spacing w:line="360" w:lineRule="auto"/>
        <w:jc w:val="center"/>
        <w:rPr>
          <w:b/>
          <w:bCs/>
          <w:sz w:val="20"/>
          <w:szCs w:val="20"/>
        </w:rPr>
      </w:pPr>
      <w:r>
        <w:rPr>
          <w:b/>
          <w:bCs/>
          <w:sz w:val="20"/>
          <w:szCs w:val="20"/>
        </w:rPr>
        <w:t>Tabela 3 – Número médio de alunos segundo número de associações atléticas estudantis</w:t>
      </w:r>
    </w:p>
    <w:p w:rsidR="00E8006B" w:rsidRDefault="00E8006B">
      <w:pPr>
        <w:spacing w:line="360" w:lineRule="auto"/>
        <w:jc w:val="both"/>
        <w:rPr>
          <w:color w:val="EE0000"/>
          <w:sz w:val="22"/>
          <w:szCs w:val="22"/>
        </w:rPr>
      </w:pPr>
    </w:p>
    <w:p w:rsidR="00E8006B" w:rsidRDefault="009B70C8">
      <w:pPr>
        <w:spacing w:line="360" w:lineRule="auto"/>
        <w:ind w:firstLine="709"/>
        <w:jc w:val="both"/>
        <w:rPr>
          <w:sz w:val="22"/>
          <w:szCs w:val="22"/>
        </w:rPr>
      </w:pPr>
      <w:r>
        <w:rPr>
          <w:sz w:val="22"/>
          <w:szCs w:val="22"/>
        </w:rPr>
        <w:t>Essa relação fica ainda mais nítida quando se observa a distribuição das associações atléticas a partir do tamanho das universidades. Entre as universidades classificadas como “grandes”, 72% possuem mais de 16 atléticas atuantes. Já entre as universidades “médias”, esse percentual cai para 22%, e entre as “pequenas” para 17%. Ao mesmo tempo, a concentração nas faixas inferiores segue a direção inversa: 28% das universidades “pequenas” possuem de 1 a 5 atléticas, proporção que cai para 17% nas “médias” e 6% nas “grandes”. Esses dados, em suma, reforçam que o tamanho da instituição e a escala do associativismo esportivo estudantil estão relacionados, o que é compreensível, dado que um corpo discente maior amplia as possibilidades de organização e diversificação das práticas esportivas.</w:t>
      </w:r>
    </w:p>
    <w:p w:rsidR="00E8006B" w:rsidRDefault="009B70C8">
      <w:pPr>
        <w:spacing w:line="360" w:lineRule="auto"/>
        <w:ind w:firstLine="709"/>
        <w:jc w:val="both"/>
        <w:rPr>
          <w:sz w:val="22"/>
          <w:szCs w:val="22"/>
        </w:rPr>
      </w:pPr>
      <w:r>
        <w:rPr>
          <w:sz w:val="22"/>
          <w:szCs w:val="22"/>
        </w:rPr>
        <w:t xml:space="preserve">Outro aspecto que merece atenção é a relação entre o número de atléticas e a existência de setor dedicado ao esporte. Entre as universidades com setor dedicado, 45% têm mais de 16 atléticas atuantes. Entre as universidades sem setor, esse percentual é de apenas 25%. A diferença sugere que a presença institucional pode criar um ambiente mais favorável ao florescimento do associativismo estudantil, seja por meio de apoio financeiro, logístico ou simplesmente pelo reconhecimento formal. Ao mesmo tempo, o fato de que 25% das universidades sem setor dedicado ao esporte também têm mais de 16 atléticas indica que o protagonismo estudantil tem dinâmica própria, capaz de se desenvolver mesmo na ausência de uma estrutura institucional de apoio. </w:t>
      </w:r>
    </w:p>
    <w:p w:rsidR="00E8006B" w:rsidRDefault="00E8006B">
      <w:pPr>
        <w:spacing w:line="360" w:lineRule="auto"/>
        <w:rPr>
          <w:b/>
          <w:bCs/>
          <w:sz w:val="22"/>
          <w:szCs w:val="22"/>
        </w:rPr>
      </w:pPr>
    </w:p>
    <w:p w:rsidR="00E8006B" w:rsidRDefault="009B70C8">
      <w:pPr>
        <w:spacing w:line="360" w:lineRule="auto"/>
        <w:rPr>
          <w:sz w:val="22"/>
          <w:szCs w:val="22"/>
        </w:rPr>
      </w:pPr>
      <w:r>
        <w:rPr>
          <w:b/>
          <w:bCs/>
          <w:sz w:val="22"/>
          <w:szCs w:val="22"/>
        </w:rPr>
        <w:t>8 - CONCLUSÕES E RECOMENDAÇÕES</w:t>
      </w:r>
    </w:p>
    <w:p w:rsidR="00E8006B" w:rsidRDefault="00E8006B">
      <w:pPr>
        <w:spacing w:line="360" w:lineRule="auto"/>
        <w:jc w:val="both"/>
        <w:rPr>
          <w:sz w:val="22"/>
          <w:szCs w:val="22"/>
        </w:rPr>
      </w:pPr>
    </w:p>
    <w:p w:rsidR="00E8006B" w:rsidRDefault="009B70C8">
      <w:pPr>
        <w:spacing w:line="360" w:lineRule="auto"/>
        <w:ind w:firstLine="709"/>
        <w:jc w:val="both"/>
        <w:rPr>
          <w:sz w:val="22"/>
          <w:szCs w:val="22"/>
        </w:rPr>
      </w:pPr>
      <w:r>
        <w:rPr>
          <w:sz w:val="22"/>
          <w:szCs w:val="22"/>
        </w:rPr>
        <w:lastRenderedPageBreak/>
        <w:t>Esta pesquisa buscou preencher uma notável lacuna de conhecimento acerca do modo como as universidades federais brasileiras gerenciam o esporte. Os dados obtidos permitem afirmar que o esporte nas universidades federais é mais estruturado do que talvez se pudesse esperar (76% das instituições consideradas neste estudo possuem algum setor dedicado ao tema) e ao mesmo tempo mais frágil do que as políticas públicas deveriam tolerar.</w:t>
      </w:r>
    </w:p>
    <w:p w:rsidR="00E8006B" w:rsidRDefault="009B70C8">
      <w:pPr>
        <w:spacing w:line="360" w:lineRule="auto"/>
        <w:ind w:firstLine="709"/>
        <w:jc w:val="both"/>
        <w:rPr>
          <w:sz w:val="22"/>
          <w:szCs w:val="22"/>
        </w:rPr>
      </w:pPr>
      <w:r>
        <w:rPr>
          <w:sz w:val="22"/>
          <w:szCs w:val="22"/>
        </w:rPr>
        <w:t>O achado mais robusto da pesquisa é o padrão que distingue as universidades que possuem um setor institucional e administrativo dedicado ao esporte das que não possuem. As primeiras concentram mais recursos orçamentários, mais técnicos desportivos, usam o expediente dos editais como meio de fomento com mais frequência e têm maior presença de associações atléticas estudantis. As segundas, em contraposição, apresentam uma situação de precariedade que se manifesta de forma especialmente aguda nos dados de orçamento, onde quase 70% dessas instituições não possuem ou não sabem informar dados orçamentários para o esporte. Em si mesmo, como já destacamos, essa incapacidade de informar é um indicador de debilidade institucional, mesmo supondo que o orçamento exista. Sem previsões orçamentárias para o esporte, qualquer planejamento ou avaliação setorial consistente torna-se impossível.</w:t>
      </w:r>
    </w:p>
    <w:p w:rsidR="00E8006B" w:rsidRDefault="009B70C8">
      <w:pPr>
        <w:spacing w:line="360" w:lineRule="auto"/>
        <w:ind w:firstLine="709"/>
        <w:jc w:val="both"/>
        <w:rPr>
          <w:sz w:val="22"/>
          <w:szCs w:val="22"/>
        </w:rPr>
      </w:pPr>
      <w:r>
        <w:rPr>
          <w:sz w:val="22"/>
          <w:szCs w:val="22"/>
        </w:rPr>
        <w:t>Esses dados sugerem que a presença institucional, ainda que parcial ou precária, mesmo assim parece fazer diferença. A ausência dela, por outro lado, parece tender a condenar o esporte universitário a uma situação de quase completa privação de recursos. As universidades que não deram o passo administrativo de constituir um setor formalmente responsável pelo esporte parecem ter mais dificuldade em romper a barreira do orçamento zero.</w:t>
      </w:r>
    </w:p>
    <w:p w:rsidR="00E8006B" w:rsidRDefault="009B70C8">
      <w:pPr>
        <w:spacing w:line="360" w:lineRule="auto"/>
        <w:ind w:firstLine="709"/>
        <w:jc w:val="both"/>
        <w:rPr>
          <w:sz w:val="22"/>
          <w:szCs w:val="22"/>
        </w:rPr>
      </w:pPr>
      <w:r>
        <w:rPr>
          <w:sz w:val="22"/>
          <w:szCs w:val="22"/>
        </w:rPr>
        <w:t>Não se trata, contudo, de afirmar que a formalização institucional, por si só, garanta recursos. A direção da causalidade entre essas variáveis permanece em aberto, restando ainda por saber se a existência do setor determina o acesso a recursos ou se instituições com mais recursos estão em melhores condições de estruturar sua gestão. O que a análise indica, entretanto, é que a institucionalização cria condições de possibilidade mais favoráveis para o acesso a recursos, abrindo portas que, de outra forma, possivelmente permaneceriam fechadas.</w:t>
      </w:r>
    </w:p>
    <w:p w:rsidR="00E8006B" w:rsidRDefault="009B70C8">
      <w:pPr>
        <w:spacing w:line="360" w:lineRule="auto"/>
        <w:ind w:firstLine="709"/>
        <w:jc w:val="both"/>
        <w:rPr>
          <w:sz w:val="22"/>
          <w:szCs w:val="22"/>
        </w:rPr>
      </w:pPr>
      <w:r>
        <w:rPr>
          <w:sz w:val="22"/>
          <w:szCs w:val="22"/>
        </w:rPr>
        <w:t xml:space="preserve">Quando o orçamento é analisado em relação ao tamanho das universidades, medido pelo número de estudantes matriculados em cursos presenciais de graduação, as universidades maiores tendem a declarar orçamentos mais elevados para o esporte. A proporção de instituições que operam com menos de R$ 100 mil anuais cai progressivamente das universidades menores (56%) para as maiores (22%), enquanto a proporção com mais de R$ 300 mil segue a direção oposta, chegando a 33% entre as “grandes” e a apenas 6% entre as “pequenas”. Em termos absolutos, portanto, as universidades federais maiores parecem, de fato, destinar mais recursos para o esporte. </w:t>
      </w:r>
    </w:p>
    <w:p w:rsidR="00E8006B" w:rsidRDefault="009B70C8">
      <w:pPr>
        <w:spacing w:line="360" w:lineRule="auto"/>
        <w:ind w:firstLine="709"/>
        <w:jc w:val="both"/>
        <w:rPr>
          <w:sz w:val="22"/>
          <w:szCs w:val="22"/>
        </w:rPr>
      </w:pPr>
      <w:r>
        <w:rPr>
          <w:sz w:val="22"/>
          <w:szCs w:val="22"/>
        </w:rPr>
        <w:t xml:space="preserve">Apesar de instigante, esse padrão deve ser interpretado com cautela, pois a pesquisa não teve acesso aos valores reais de gastos com o esporte em cada instituição, mas apenas às faixas estimadas declaradas pelos respondentes, o que impede qualquer conclusão mais precisa sobre o investimento e sobretudo sobre o investimento per capita, isto é, sobre quanto cada universidade destina ao esporte em relação ao tamanho do seu corpo discente. Esclarecer essa dimensão, com dados orçamentários contínuos e não apenas categóricos, é uma das contribuições que pesquisas futuras poderiam oferecer. </w:t>
      </w:r>
    </w:p>
    <w:p w:rsidR="00E8006B" w:rsidRDefault="009B70C8">
      <w:pPr>
        <w:spacing w:line="360" w:lineRule="auto"/>
        <w:ind w:firstLine="709"/>
        <w:jc w:val="both"/>
        <w:rPr>
          <w:sz w:val="22"/>
          <w:szCs w:val="22"/>
          <w:highlight w:val="yellow"/>
        </w:rPr>
      </w:pPr>
      <w:r>
        <w:rPr>
          <w:sz w:val="22"/>
          <w:szCs w:val="22"/>
        </w:rPr>
        <w:lastRenderedPageBreak/>
        <w:t xml:space="preserve">Os dados da pesquisa confirmam a relevância da participação estudantil para o esporte universitário brasileiro. A ampla presença de associações atléticas nas universidades federais (mais de 16 em 40% delas) revela uma capacidade de mobilização que seria imprudente ignorar ou tentar substituir. Mesmo com pouco ou nenhum orçamento, as associações atléticas parecem sustentar em grande medida o esporte nas universidades federais brasileiras (MARTINELI; RIBEIRO; SILVA, 2023; PEREIRA; SILVA, 2019; SILVA; PESSOA; SILVA, 2025). </w:t>
      </w:r>
    </w:p>
    <w:p w:rsidR="00E8006B" w:rsidRDefault="009B70C8">
      <w:pPr>
        <w:spacing w:line="360" w:lineRule="auto"/>
        <w:ind w:firstLine="709"/>
        <w:jc w:val="both"/>
        <w:rPr>
          <w:sz w:val="22"/>
          <w:szCs w:val="22"/>
        </w:rPr>
      </w:pPr>
      <w:r>
        <w:rPr>
          <w:sz w:val="22"/>
          <w:szCs w:val="22"/>
        </w:rPr>
        <w:t xml:space="preserve">O contexto político atual em que as universidades federais operam agrega peso adicional aos resultados desta pesquisa. Isso porque, ao lado dos constantes cortes nos orçamentos destas instituições, alterações no Programa Nacional de Assistência Estudantil (PNAES) restringem o amparo legal para ações voltadas aos esportes nas universidades por meio deste Programa. Ao mesmo tempo, a arquitetura política de financiamento público do esporte universitário privilegia a Confederação Brasileira de Desportos Universitários (CBDU) por meio de repasses diretos previstos em lei, enquanto as próprias universidades federais carecem de fontes específicas e previsíveis de recursos para o setor. Nesse contexto contraditório, os caminhos para superar vulnerabilidades do esporte universitário possivelmente passam por um maior comprometimento político, financeiro e institucional para com o fomento dos esportes </w:t>
      </w:r>
      <w:r>
        <w:rPr>
          <w:i/>
          <w:iCs/>
          <w:sz w:val="22"/>
          <w:szCs w:val="22"/>
        </w:rPr>
        <w:t>nas</w:t>
      </w:r>
      <w:r>
        <w:rPr>
          <w:sz w:val="22"/>
          <w:szCs w:val="22"/>
        </w:rPr>
        <w:t xml:space="preserve"> universidades públicas, não apenas em instituições privadas que alegam representá-lo. </w:t>
      </w:r>
    </w:p>
    <w:p w:rsidR="00E8006B" w:rsidRDefault="009B70C8">
      <w:pPr>
        <w:spacing w:line="360" w:lineRule="auto"/>
        <w:ind w:firstLine="709"/>
        <w:jc w:val="both"/>
        <w:rPr>
          <w:sz w:val="22"/>
          <w:szCs w:val="22"/>
        </w:rPr>
      </w:pPr>
      <w:r>
        <w:rPr>
          <w:sz w:val="22"/>
          <w:szCs w:val="22"/>
        </w:rPr>
        <w:t xml:space="preserve">Os achados desta pesquisa permitem formular recomendações em três frentes legislativas e de política pública. A primeira diz respeito à necessidade de revisão do modelo de financiamento público do esporte universitário estabelecido pela Lei nº 13.756/2018. Atualmente, os repasses de loterias federais destinados ao esporte universitário são canalizados integralmente para a CBDU, uma entidade privada, enquanto as universidades federais — que são as instituições onde em grande medida o esporte universitário efetivamente se realiza e que atendem a mais de um milhão de estudantes — não dispõem de qualquer fonte específica e previsível de recursos para esse fim. Os dados desta pesquisa mostram que 39% das universidades federais operam com menos de R$ 100 mil anuais para o esporte e que quase um terço delas não possui ou não sabe informar seu orçamento. Uma alteração legislativa que destinasse uma fração dos recursos hoje repassados à CBDU diretamente às universidades federais, por exemplo vinculando-os ao número de estudantes matriculados, poderia ter impacto expressivo, sobretudo nas instituições menores, onde a dependência do PNAES é maior e os orçamentos são mais reduzidos. </w:t>
      </w:r>
    </w:p>
    <w:p w:rsidR="00E8006B" w:rsidRDefault="009B70C8">
      <w:pPr>
        <w:spacing w:line="360" w:lineRule="auto"/>
        <w:ind w:firstLine="709"/>
        <w:jc w:val="both"/>
        <w:rPr>
          <w:sz w:val="22"/>
          <w:szCs w:val="22"/>
        </w:rPr>
      </w:pPr>
      <w:r>
        <w:rPr>
          <w:sz w:val="22"/>
          <w:szCs w:val="22"/>
        </w:rPr>
        <w:t xml:space="preserve">A segunda frente concerne à regulamentação complementar da Lei nº 14.914/2024, que transformou o PNAES em política nacional. Os dados mostram que o PNAES é a principal fonte de financiamento do esporte em 37% das universidades federais e que 44% das instituições com setor esportivo estão vinculadas a </w:t>
      </w:r>
      <w:proofErr w:type="spellStart"/>
      <w:r>
        <w:rPr>
          <w:sz w:val="22"/>
          <w:szCs w:val="22"/>
        </w:rPr>
        <w:t>Pró-Reitorias</w:t>
      </w:r>
      <w:proofErr w:type="spellEnd"/>
      <w:r>
        <w:rPr>
          <w:sz w:val="22"/>
          <w:szCs w:val="22"/>
        </w:rPr>
        <w:t xml:space="preserve"> de Assistência Estudantil. A nova lei, contudo, restringe os recursos do Programa a benefícios diretos como bolsas e auxílios, criando incerteza quanto ao financiamento de ações esportivas institucionais. Seria oportuno que o Poder Legislativo, por meio da Comissão do Esporte ou de comissões correlatas, instasse o Poder Executivo a editar regulamentação complementar que definisse explicitamente o espaço do esporte nas novas diretrizes de assistência estudantil, preservando a possibilidade de uso desses recursos para ações esportivas nas universidades. </w:t>
      </w:r>
    </w:p>
    <w:p w:rsidR="00E8006B" w:rsidRDefault="009B70C8">
      <w:pPr>
        <w:spacing w:line="360" w:lineRule="auto"/>
        <w:ind w:firstLine="709"/>
        <w:jc w:val="both"/>
        <w:rPr>
          <w:sz w:val="22"/>
          <w:szCs w:val="22"/>
        </w:rPr>
      </w:pPr>
      <w:r>
        <w:rPr>
          <w:sz w:val="22"/>
          <w:szCs w:val="22"/>
        </w:rPr>
        <w:lastRenderedPageBreak/>
        <w:t>A terceira frente refere-se à institucionalização da gestão esportiva nas próprias universidades federais. Os dados demonstram que a existência de um setor dedicado ao esporte está associada a melhores indicadores em praticamente todas as dimensões analisadas — orçamento, recursos humanos, mecanismos de gestão e participação estudantil. Uma diretriz do Ministério da Educação que incentivasse as universidades federais a constituírem setores formais para a gestão esportiva, com previsão orçamentária específica, poderia contribuir para reduzir a precariedade que ainda marca a situação de parcela significativa dessas instituições.</w:t>
      </w:r>
    </w:p>
    <w:p w:rsidR="00E8006B" w:rsidRDefault="009B70C8">
      <w:pPr>
        <w:spacing w:line="360" w:lineRule="auto"/>
        <w:ind w:firstLine="709"/>
        <w:jc w:val="both"/>
        <w:rPr>
          <w:sz w:val="22"/>
          <w:szCs w:val="22"/>
        </w:rPr>
      </w:pPr>
      <w:r>
        <w:rPr>
          <w:sz w:val="22"/>
          <w:szCs w:val="22"/>
        </w:rPr>
        <w:t xml:space="preserve">Essa pesquisa teve um deliberado caráter exploratório e descritivo, especialmente justificável diante da atual ausência de informações sistematizadas sobre as políticas e os modos de gestão do esporte nas universidades federais. No entanto, no futuro, novas pesquisas poderiam avançar em direção a análises longitudinais, aprofundando, assim, nossa compreensão a respeito dessas dinâmicas. Paralelamente, também poderiam ser conduzidos estudos de caso qualitativos em universidades específicas, a fim de analisar dinâmicas que os dados quantitativos não têm como alcançar, tal como já realizado por Vieira e Athayde (2023), Pereira e Silva (2019) e Silva, Pessoa e Silva (2025). A natureza </w:t>
      </w:r>
      <w:proofErr w:type="spellStart"/>
      <w:r>
        <w:rPr>
          <w:sz w:val="22"/>
          <w:szCs w:val="22"/>
        </w:rPr>
        <w:t>autodeclaratória</w:t>
      </w:r>
      <w:proofErr w:type="spellEnd"/>
      <w:r>
        <w:rPr>
          <w:sz w:val="22"/>
          <w:szCs w:val="22"/>
        </w:rPr>
        <w:t xml:space="preserve"> dos dados dessa pesquisa, a ausência de 15 universidades, bem como o uso de faixas estimadas categoriais sobre o orçamento e sobre o número de associações atléticas estudantis, em lugar de valores contínuos, são todas limitações que deveriam tentar ser contornadas em iniciativas futuras.</w:t>
      </w:r>
    </w:p>
    <w:p w:rsidR="00E8006B" w:rsidRDefault="00E8006B">
      <w:pPr>
        <w:spacing w:line="360" w:lineRule="auto"/>
        <w:jc w:val="both"/>
        <w:rPr>
          <w:sz w:val="22"/>
          <w:szCs w:val="22"/>
        </w:rPr>
      </w:pPr>
    </w:p>
    <w:p w:rsidR="00E8006B" w:rsidRDefault="009B70C8">
      <w:pPr>
        <w:spacing w:line="360" w:lineRule="auto"/>
        <w:rPr>
          <w:rFonts w:eastAsia="Aptos"/>
          <w:b/>
          <w:bCs/>
          <w:sz w:val="22"/>
          <w:szCs w:val="22"/>
        </w:rPr>
      </w:pPr>
      <w:r>
        <w:rPr>
          <w:rFonts w:eastAsia="Aptos"/>
          <w:b/>
          <w:bCs/>
          <w:sz w:val="22"/>
          <w:szCs w:val="22"/>
        </w:rPr>
        <w:t xml:space="preserve">REFERÊNCIAS </w:t>
      </w:r>
    </w:p>
    <w:p w:rsidR="00E8006B" w:rsidRDefault="009B70C8">
      <w:pPr>
        <w:spacing w:before="240" w:after="240" w:line="360" w:lineRule="auto"/>
        <w:jc w:val="both"/>
        <w:rPr>
          <w:rFonts w:eastAsia="Aptos"/>
          <w:sz w:val="22"/>
          <w:szCs w:val="22"/>
        </w:rPr>
      </w:pPr>
      <w:r>
        <w:rPr>
          <w:rFonts w:eastAsia="Aptos"/>
          <w:sz w:val="22"/>
          <w:szCs w:val="22"/>
        </w:rPr>
        <w:t xml:space="preserve">ALMEIDA, Bárbara </w:t>
      </w:r>
      <w:proofErr w:type="spellStart"/>
      <w:r>
        <w:rPr>
          <w:rFonts w:eastAsia="Aptos"/>
          <w:sz w:val="22"/>
          <w:szCs w:val="22"/>
        </w:rPr>
        <w:t>Schausteck</w:t>
      </w:r>
      <w:proofErr w:type="spellEnd"/>
      <w:r>
        <w:rPr>
          <w:rFonts w:eastAsia="Aptos"/>
          <w:sz w:val="22"/>
          <w:szCs w:val="22"/>
        </w:rPr>
        <w:t xml:space="preserve"> de; COAKLEY, Jay; MARCHI JÚNIOR, Wanderley; STAREPRAVO, Fernando Augusto. </w:t>
      </w:r>
      <w:r>
        <w:rPr>
          <w:rFonts w:eastAsia="Aptos"/>
          <w:b/>
          <w:bCs/>
          <w:sz w:val="22"/>
          <w:szCs w:val="22"/>
        </w:rPr>
        <w:t xml:space="preserve">Federal </w:t>
      </w:r>
      <w:proofErr w:type="spellStart"/>
      <w:r>
        <w:rPr>
          <w:rFonts w:eastAsia="Aptos"/>
          <w:b/>
          <w:bCs/>
          <w:sz w:val="22"/>
          <w:szCs w:val="22"/>
        </w:rPr>
        <w:t>government</w:t>
      </w:r>
      <w:proofErr w:type="spellEnd"/>
      <w:r>
        <w:rPr>
          <w:rFonts w:eastAsia="Aptos"/>
          <w:b/>
          <w:bCs/>
          <w:sz w:val="22"/>
          <w:szCs w:val="22"/>
        </w:rPr>
        <w:t xml:space="preserve"> </w:t>
      </w:r>
      <w:proofErr w:type="spellStart"/>
      <w:r>
        <w:rPr>
          <w:rFonts w:eastAsia="Aptos"/>
          <w:b/>
          <w:bCs/>
          <w:sz w:val="22"/>
          <w:szCs w:val="22"/>
        </w:rPr>
        <w:t>funding</w:t>
      </w:r>
      <w:proofErr w:type="spellEnd"/>
      <w:r>
        <w:rPr>
          <w:rFonts w:eastAsia="Aptos"/>
          <w:b/>
          <w:bCs/>
          <w:sz w:val="22"/>
          <w:szCs w:val="22"/>
        </w:rPr>
        <w:t xml:space="preserve"> </w:t>
      </w:r>
      <w:proofErr w:type="spellStart"/>
      <w:r>
        <w:rPr>
          <w:rFonts w:eastAsia="Aptos"/>
          <w:b/>
          <w:bCs/>
          <w:sz w:val="22"/>
          <w:szCs w:val="22"/>
        </w:rPr>
        <w:t>and</w:t>
      </w:r>
      <w:proofErr w:type="spellEnd"/>
      <w:r>
        <w:rPr>
          <w:rFonts w:eastAsia="Aptos"/>
          <w:b/>
          <w:bCs/>
          <w:sz w:val="22"/>
          <w:szCs w:val="22"/>
        </w:rPr>
        <w:t xml:space="preserve"> </w:t>
      </w:r>
      <w:proofErr w:type="spellStart"/>
      <w:r>
        <w:rPr>
          <w:rFonts w:eastAsia="Aptos"/>
          <w:b/>
          <w:bCs/>
          <w:sz w:val="22"/>
          <w:szCs w:val="22"/>
        </w:rPr>
        <w:t>sport</w:t>
      </w:r>
      <w:proofErr w:type="spellEnd"/>
      <w:r>
        <w:rPr>
          <w:rFonts w:eastAsia="Aptos"/>
          <w:b/>
          <w:bCs/>
          <w:sz w:val="22"/>
          <w:szCs w:val="22"/>
        </w:rPr>
        <w:t xml:space="preserve">: </w:t>
      </w:r>
      <w:proofErr w:type="spellStart"/>
      <w:r>
        <w:rPr>
          <w:rFonts w:eastAsia="Aptos"/>
          <w:b/>
          <w:bCs/>
          <w:sz w:val="22"/>
          <w:szCs w:val="22"/>
        </w:rPr>
        <w:t>the</w:t>
      </w:r>
      <w:proofErr w:type="spellEnd"/>
      <w:r>
        <w:rPr>
          <w:rFonts w:eastAsia="Aptos"/>
          <w:b/>
          <w:bCs/>
          <w:sz w:val="22"/>
          <w:szCs w:val="22"/>
        </w:rPr>
        <w:t xml:space="preserve"> case </w:t>
      </w:r>
      <w:proofErr w:type="spellStart"/>
      <w:r>
        <w:rPr>
          <w:rFonts w:eastAsia="Aptos"/>
          <w:b/>
          <w:bCs/>
          <w:sz w:val="22"/>
          <w:szCs w:val="22"/>
        </w:rPr>
        <w:t>of</w:t>
      </w:r>
      <w:proofErr w:type="spellEnd"/>
      <w:r>
        <w:rPr>
          <w:rFonts w:eastAsia="Aptos"/>
          <w:b/>
          <w:bCs/>
          <w:sz w:val="22"/>
          <w:szCs w:val="22"/>
        </w:rPr>
        <w:t xml:space="preserve"> </w:t>
      </w:r>
      <w:proofErr w:type="spellStart"/>
      <w:r>
        <w:rPr>
          <w:rFonts w:eastAsia="Aptos"/>
          <w:b/>
          <w:bCs/>
          <w:sz w:val="22"/>
          <w:szCs w:val="22"/>
        </w:rPr>
        <w:t>Brazil</w:t>
      </w:r>
      <w:proofErr w:type="spellEnd"/>
      <w:r>
        <w:rPr>
          <w:rFonts w:eastAsia="Aptos"/>
          <w:b/>
          <w:bCs/>
          <w:sz w:val="22"/>
          <w:szCs w:val="22"/>
        </w:rPr>
        <w:t>,</w:t>
      </w:r>
      <w:r>
        <w:rPr>
          <w:rFonts w:eastAsia="Aptos"/>
          <w:sz w:val="22"/>
          <w:szCs w:val="22"/>
        </w:rPr>
        <w:t xml:space="preserve"> 2004–2009. </w:t>
      </w:r>
      <w:proofErr w:type="spellStart"/>
      <w:r>
        <w:rPr>
          <w:rFonts w:eastAsia="Aptos"/>
          <w:sz w:val="22"/>
          <w:szCs w:val="22"/>
        </w:rPr>
        <w:t>International</w:t>
      </w:r>
      <w:proofErr w:type="spellEnd"/>
      <w:r>
        <w:rPr>
          <w:rFonts w:eastAsia="Aptos"/>
          <w:sz w:val="22"/>
          <w:szCs w:val="22"/>
        </w:rPr>
        <w:t xml:space="preserve"> </w:t>
      </w:r>
      <w:proofErr w:type="spellStart"/>
      <w:r>
        <w:rPr>
          <w:rFonts w:eastAsia="Aptos"/>
          <w:sz w:val="22"/>
          <w:szCs w:val="22"/>
        </w:rPr>
        <w:t>Journal</w:t>
      </w:r>
      <w:proofErr w:type="spellEnd"/>
      <w:r>
        <w:rPr>
          <w:rFonts w:eastAsia="Aptos"/>
          <w:sz w:val="22"/>
          <w:szCs w:val="22"/>
        </w:rPr>
        <w:t xml:space="preserve"> </w:t>
      </w:r>
      <w:proofErr w:type="spellStart"/>
      <w:r>
        <w:rPr>
          <w:rFonts w:eastAsia="Aptos"/>
          <w:sz w:val="22"/>
          <w:szCs w:val="22"/>
        </w:rPr>
        <w:t>of</w:t>
      </w:r>
      <w:proofErr w:type="spellEnd"/>
      <w:r>
        <w:rPr>
          <w:rFonts w:eastAsia="Aptos"/>
          <w:sz w:val="22"/>
          <w:szCs w:val="22"/>
        </w:rPr>
        <w:t xml:space="preserve"> Sport </w:t>
      </w:r>
      <w:proofErr w:type="spellStart"/>
      <w:r>
        <w:rPr>
          <w:rFonts w:eastAsia="Aptos"/>
          <w:sz w:val="22"/>
          <w:szCs w:val="22"/>
        </w:rPr>
        <w:t>Policy</w:t>
      </w:r>
      <w:proofErr w:type="spellEnd"/>
      <w:r>
        <w:rPr>
          <w:rFonts w:eastAsia="Aptos"/>
          <w:sz w:val="22"/>
          <w:szCs w:val="22"/>
        </w:rPr>
        <w:t xml:space="preserve"> </w:t>
      </w:r>
      <w:proofErr w:type="spellStart"/>
      <w:r>
        <w:rPr>
          <w:rFonts w:eastAsia="Aptos"/>
          <w:sz w:val="22"/>
          <w:szCs w:val="22"/>
        </w:rPr>
        <w:t>and</w:t>
      </w:r>
      <w:proofErr w:type="spellEnd"/>
      <w:r>
        <w:rPr>
          <w:rFonts w:eastAsia="Aptos"/>
          <w:sz w:val="22"/>
          <w:szCs w:val="22"/>
        </w:rPr>
        <w:t xml:space="preserve"> </w:t>
      </w:r>
      <w:proofErr w:type="spellStart"/>
      <w:r>
        <w:rPr>
          <w:rFonts w:eastAsia="Aptos"/>
          <w:sz w:val="22"/>
          <w:szCs w:val="22"/>
        </w:rPr>
        <w:t>Politics</w:t>
      </w:r>
      <w:proofErr w:type="spellEnd"/>
      <w:r>
        <w:rPr>
          <w:rFonts w:eastAsia="Aptos"/>
          <w:sz w:val="22"/>
          <w:szCs w:val="22"/>
        </w:rPr>
        <w:t xml:space="preserve">, v. 4, n. 3, p. 411-426, 2012. </w:t>
      </w:r>
    </w:p>
    <w:p w:rsidR="00E8006B" w:rsidRDefault="009B70C8">
      <w:pPr>
        <w:spacing w:before="240" w:after="240" w:line="360" w:lineRule="auto"/>
        <w:jc w:val="both"/>
        <w:rPr>
          <w:sz w:val="22"/>
          <w:szCs w:val="22"/>
        </w:rPr>
      </w:pPr>
      <w:r>
        <w:rPr>
          <w:rFonts w:eastAsia="Aptos"/>
          <w:sz w:val="22"/>
          <w:szCs w:val="22"/>
        </w:rPr>
        <w:t xml:space="preserve">BARBOSA, Cláudio G. </w:t>
      </w:r>
      <w:r>
        <w:rPr>
          <w:rFonts w:eastAsia="Aptos"/>
          <w:b/>
          <w:bCs/>
          <w:sz w:val="22"/>
          <w:szCs w:val="22"/>
        </w:rPr>
        <w:t>A gestão pública do esporte universitário brasileiro: a bola não deve entrar por acaso.</w:t>
      </w:r>
      <w:r>
        <w:rPr>
          <w:rFonts w:eastAsia="Aptos"/>
          <w:sz w:val="22"/>
          <w:szCs w:val="22"/>
        </w:rPr>
        <w:t xml:space="preserve"> 2017. Tese (Doutorado) — Instituto de Biociências, UNESP, Rio Claro.</w:t>
      </w:r>
    </w:p>
    <w:p w:rsidR="00E8006B" w:rsidRDefault="009B70C8">
      <w:pPr>
        <w:spacing w:before="240" w:after="240" w:line="360" w:lineRule="auto"/>
        <w:jc w:val="both"/>
        <w:rPr>
          <w:rFonts w:eastAsia="Aptos"/>
          <w:sz w:val="22"/>
          <w:szCs w:val="22"/>
        </w:rPr>
      </w:pPr>
      <w:r>
        <w:rPr>
          <w:rFonts w:eastAsia="Aptos"/>
          <w:sz w:val="22"/>
          <w:szCs w:val="22"/>
        </w:rPr>
        <w:t xml:space="preserve">BERGSGARD, </w:t>
      </w:r>
      <w:proofErr w:type="spellStart"/>
      <w:r>
        <w:rPr>
          <w:rFonts w:eastAsia="Aptos"/>
          <w:sz w:val="22"/>
          <w:szCs w:val="22"/>
        </w:rPr>
        <w:t>Nils</w:t>
      </w:r>
      <w:proofErr w:type="spellEnd"/>
      <w:r>
        <w:rPr>
          <w:rFonts w:eastAsia="Aptos"/>
          <w:sz w:val="22"/>
          <w:szCs w:val="22"/>
        </w:rPr>
        <w:t xml:space="preserve"> </w:t>
      </w:r>
      <w:proofErr w:type="spellStart"/>
      <w:r>
        <w:rPr>
          <w:rFonts w:eastAsia="Aptos"/>
          <w:sz w:val="22"/>
          <w:szCs w:val="22"/>
        </w:rPr>
        <w:t>Asle</w:t>
      </w:r>
      <w:proofErr w:type="spellEnd"/>
      <w:r>
        <w:rPr>
          <w:rFonts w:eastAsia="Aptos"/>
          <w:sz w:val="22"/>
          <w:szCs w:val="22"/>
        </w:rPr>
        <w:t xml:space="preserve">; HOULIHAN, </w:t>
      </w:r>
      <w:proofErr w:type="spellStart"/>
      <w:r>
        <w:rPr>
          <w:rFonts w:eastAsia="Aptos"/>
          <w:sz w:val="22"/>
          <w:szCs w:val="22"/>
        </w:rPr>
        <w:t>Barrie</w:t>
      </w:r>
      <w:proofErr w:type="spellEnd"/>
      <w:r>
        <w:rPr>
          <w:rFonts w:eastAsia="Aptos"/>
          <w:sz w:val="22"/>
          <w:szCs w:val="22"/>
        </w:rPr>
        <w:t xml:space="preserve">; MANGSET, Per; NODLAND, </w:t>
      </w:r>
      <w:proofErr w:type="spellStart"/>
      <w:r>
        <w:rPr>
          <w:rFonts w:eastAsia="Aptos"/>
          <w:sz w:val="22"/>
          <w:szCs w:val="22"/>
        </w:rPr>
        <w:t>Svein</w:t>
      </w:r>
      <w:proofErr w:type="spellEnd"/>
      <w:r>
        <w:rPr>
          <w:rFonts w:eastAsia="Aptos"/>
          <w:sz w:val="22"/>
          <w:szCs w:val="22"/>
        </w:rPr>
        <w:t xml:space="preserve"> </w:t>
      </w:r>
      <w:proofErr w:type="spellStart"/>
      <w:r>
        <w:rPr>
          <w:rFonts w:eastAsia="Aptos"/>
          <w:sz w:val="22"/>
          <w:szCs w:val="22"/>
        </w:rPr>
        <w:t>Ingve</w:t>
      </w:r>
      <w:proofErr w:type="spellEnd"/>
      <w:r>
        <w:rPr>
          <w:rFonts w:eastAsia="Aptos"/>
          <w:sz w:val="22"/>
          <w:szCs w:val="22"/>
        </w:rPr>
        <w:t xml:space="preserve">; ROMMETVEDT, </w:t>
      </w:r>
      <w:proofErr w:type="spellStart"/>
      <w:r>
        <w:rPr>
          <w:rFonts w:eastAsia="Aptos"/>
          <w:sz w:val="22"/>
          <w:szCs w:val="22"/>
        </w:rPr>
        <w:t>Hilmar</w:t>
      </w:r>
      <w:proofErr w:type="spellEnd"/>
      <w:r>
        <w:rPr>
          <w:rFonts w:eastAsia="Aptos"/>
          <w:sz w:val="22"/>
          <w:szCs w:val="22"/>
        </w:rPr>
        <w:t xml:space="preserve">. Sport </w:t>
      </w:r>
      <w:proofErr w:type="spellStart"/>
      <w:r>
        <w:rPr>
          <w:rFonts w:eastAsia="Aptos"/>
          <w:sz w:val="22"/>
          <w:szCs w:val="22"/>
        </w:rPr>
        <w:t>Policy</w:t>
      </w:r>
      <w:proofErr w:type="spellEnd"/>
      <w:r>
        <w:rPr>
          <w:rFonts w:eastAsia="Aptos"/>
          <w:sz w:val="22"/>
          <w:szCs w:val="22"/>
        </w:rPr>
        <w:t xml:space="preserve">: </w:t>
      </w:r>
      <w:r>
        <w:rPr>
          <w:rFonts w:eastAsia="Aptos"/>
          <w:b/>
          <w:bCs/>
          <w:sz w:val="22"/>
          <w:szCs w:val="22"/>
        </w:rPr>
        <w:t xml:space="preserve">A </w:t>
      </w:r>
      <w:proofErr w:type="spellStart"/>
      <w:r>
        <w:rPr>
          <w:rFonts w:eastAsia="Aptos"/>
          <w:b/>
          <w:bCs/>
          <w:sz w:val="22"/>
          <w:szCs w:val="22"/>
        </w:rPr>
        <w:t>Comparative</w:t>
      </w:r>
      <w:proofErr w:type="spellEnd"/>
      <w:r>
        <w:rPr>
          <w:rFonts w:eastAsia="Aptos"/>
          <w:b/>
          <w:bCs/>
          <w:sz w:val="22"/>
          <w:szCs w:val="22"/>
        </w:rPr>
        <w:t xml:space="preserve"> </w:t>
      </w:r>
      <w:proofErr w:type="spellStart"/>
      <w:r>
        <w:rPr>
          <w:rFonts w:eastAsia="Aptos"/>
          <w:b/>
          <w:bCs/>
          <w:sz w:val="22"/>
          <w:szCs w:val="22"/>
        </w:rPr>
        <w:t>Analysis</w:t>
      </w:r>
      <w:proofErr w:type="spellEnd"/>
      <w:r>
        <w:rPr>
          <w:rFonts w:eastAsia="Aptos"/>
          <w:b/>
          <w:bCs/>
          <w:sz w:val="22"/>
          <w:szCs w:val="22"/>
        </w:rPr>
        <w:t xml:space="preserve"> </w:t>
      </w:r>
      <w:proofErr w:type="spellStart"/>
      <w:r>
        <w:rPr>
          <w:rFonts w:eastAsia="Aptos"/>
          <w:b/>
          <w:bCs/>
          <w:sz w:val="22"/>
          <w:szCs w:val="22"/>
        </w:rPr>
        <w:t>of</w:t>
      </w:r>
      <w:proofErr w:type="spellEnd"/>
      <w:r>
        <w:rPr>
          <w:rFonts w:eastAsia="Aptos"/>
          <w:b/>
          <w:bCs/>
          <w:sz w:val="22"/>
          <w:szCs w:val="22"/>
        </w:rPr>
        <w:t xml:space="preserve"> </w:t>
      </w:r>
      <w:proofErr w:type="spellStart"/>
      <w:r>
        <w:rPr>
          <w:rFonts w:eastAsia="Aptos"/>
          <w:b/>
          <w:bCs/>
          <w:sz w:val="22"/>
          <w:szCs w:val="22"/>
        </w:rPr>
        <w:t>Stability</w:t>
      </w:r>
      <w:proofErr w:type="spellEnd"/>
      <w:r>
        <w:rPr>
          <w:rFonts w:eastAsia="Aptos"/>
          <w:b/>
          <w:bCs/>
          <w:sz w:val="22"/>
          <w:szCs w:val="22"/>
        </w:rPr>
        <w:t xml:space="preserve"> </w:t>
      </w:r>
      <w:proofErr w:type="spellStart"/>
      <w:r>
        <w:rPr>
          <w:rFonts w:eastAsia="Aptos"/>
          <w:b/>
          <w:bCs/>
          <w:sz w:val="22"/>
          <w:szCs w:val="22"/>
        </w:rPr>
        <w:t>and</w:t>
      </w:r>
      <w:proofErr w:type="spellEnd"/>
      <w:r>
        <w:rPr>
          <w:rFonts w:eastAsia="Aptos"/>
          <w:b/>
          <w:bCs/>
          <w:sz w:val="22"/>
          <w:szCs w:val="22"/>
        </w:rPr>
        <w:t xml:space="preserve"> </w:t>
      </w:r>
      <w:proofErr w:type="spellStart"/>
      <w:r>
        <w:rPr>
          <w:rFonts w:eastAsia="Aptos"/>
          <w:b/>
          <w:bCs/>
          <w:sz w:val="22"/>
          <w:szCs w:val="22"/>
        </w:rPr>
        <w:t>Change</w:t>
      </w:r>
      <w:proofErr w:type="spellEnd"/>
      <w:r>
        <w:rPr>
          <w:rFonts w:eastAsia="Aptos"/>
          <w:b/>
          <w:bCs/>
          <w:sz w:val="22"/>
          <w:szCs w:val="22"/>
        </w:rPr>
        <w:t xml:space="preserve">. Oxford: </w:t>
      </w:r>
      <w:proofErr w:type="spellStart"/>
      <w:r>
        <w:rPr>
          <w:rFonts w:eastAsia="Aptos"/>
          <w:b/>
          <w:bCs/>
          <w:sz w:val="22"/>
          <w:szCs w:val="22"/>
        </w:rPr>
        <w:t>Butterworth-Heinemann</w:t>
      </w:r>
      <w:proofErr w:type="spellEnd"/>
      <w:r>
        <w:rPr>
          <w:rFonts w:eastAsia="Aptos"/>
          <w:sz w:val="22"/>
          <w:szCs w:val="22"/>
        </w:rPr>
        <w:t>, 2007.</w:t>
      </w:r>
    </w:p>
    <w:p w:rsidR="00E8006B" w:rsidRDefault="009B70C8">
      <w:pPr>
        <w:spacing w:before="240" w:after="240" w:line="360" w:lineRule="auto"/>
        <w:jc w:val="both"/>
        <w:rPr>
          <w:rFonts w:eastAsia="Aptos"/>
          <w:sz w:val="22"/>
          <w:szCs w:val="22"/>
        </w:rPr>
      </w:pPr>
      <w:r>
        <w:rPr>
          <w:rFonts w:eastAsia="Aptos"/>
          <w:sz w:val="22"/>
          <w:szCs w:val="22"/>
        </w:rPr>
        <w:t xml:space="preserve">BRASIL. </w:t>
      </w:r>
      <w:r>
        <w:rPr>
          <w:rFonts w:eastAsia="Aptos"/>
          <w:b/>
          <w:bCs/>
          <w:sz w:val="22"/>
          <w:szCs w:val="22"/>
        </w:rPr>
        <w:t>Censo da Educação Superior 2023: notas estatísticas</w:t>
      </w:r>
      <w:r>
        <w:rPr>
          <w:rFonts w:eastAsia="Aptos"/>
          <w:sz w:val="22"/>
          <w:szCs w:val="22"/>
        </w:rPr>
        <w:t>. Brasília: Instituto Nacional de Estudos e Pesquisas Educacionais Anísio Teixeira (Inep), 2024a. Disponível em: https://www.gov.br/inep. Acesso em: 2 abr. 2026.</w:t>
      </w:r>
    </w:p>
    <w:p w:rsidR="00E8006B" w:rsidRDefault="009B70C8">
      <w:pPr>
        <w:spacing w:before="240" w:after="240" w:line="360" w:lineRule="auto"/>
        <w:jc w:val="both"/>
        <w:rPr>
          <w:rFonts w:eastAsia="Aptos"/>
          <w:sz w:val="22"/>
          <w:szCs w:val="22"/>
        </w:rPr>
      </w:pPr>
      <w:r>
        <w:rPr>
          <w:rFonts w:eastAsia="Aptos"/>
          <w:sz w:val="22"/>
          <w:szCs w:val="22"/>
        </w:rPr>
        <w:t xml:space="preserve">BRASIL. </w:t>
      </w:r>
      <w:r>
        <w:rPr>
          <w:rFonts w:eastAsia="Aptos"/>
          <w:b/>
          <w:bCs/>
          <w:sz w:val="22"/>
          <w:szCs w:val="22"/>
        </w:rPr>
        <w:t>Lei nº 14.914, de 3 de julho de 2024. Institui a Política Nacional de Assistência Estudantil (PNAES) e o Programa de Assistência Estudantil (PAE)</w:t>
      </w:r>
      <w:r>
        <w:rPr>
          <w:rFonts w:eastAsia="Aptos"/>
          <w:sz w:val="22"/>
          <w:szCs w:val="22"/>
        </w:rPr>
        <w:t>. Diário Oficial da União, Brasília, DF, 4 jul. 2024b.</w:t>
      </w:r>
    </w:p>
    <w:p w:rsidR="00E8006B" w:rsidRDefault="009B70C8">
      <w:pPr>
        <w:spacing w:before="240" w:after="240" w:line="360" w:lineRule="auto"/>
        <w:jc w:val="both"/>
        <w:rPr>
          <w:sz w:val="22"/>
          <w:szCs w:val="22"/>
        </w:rPr>
      </w:pPr>
      <w:r>
        <w:rPr>
          <w:sz w:val="22"/>
          <w:szCs w:val="22"/>
        </w:rPr>
        <w:t xml:space="preserve">CAIXA ECONÔMICA FEDERAL. </w:t>
      </w:r>
      <w:r>
        <w:rPr>
          <w:b/>
          <w:bCs/>
          <w:sz w:val="22"/>
          <w:szCs w:val="22"/>
        </w:rPr>
        <w:t>A sorte em números: relatório 2020-2021</w:t>
      </w:r>
      <w:r>
        <w:rPr>
          <w:sz w:val="22"/>
          <w:szCs w:val="22"/>
        </w:rPr>
        <w:t>. [</w:t>
      </w:r>
      <w:proofErr w:type="gramStart"/>
      <w:r>
        <w:rPr>
          <w:sz w:val="22"/>
          <w:szCs w:val="22"/>
        </w:rPr>
        <w:t>s</w:t>
      </w:r>
      <w:proofErr w:type="gramEnd"/>
      <w:r>
        <w:rPr>
          <w:sz w:val="22"/>
          <w:szCs w:val="22"/>
        </w:rPr>
        <w:t>/l]: 2021. Disponível em: https://www.caixa.gov.br/Downloads/caixa-loterias/A_Sorte_em_Numeros_2020_2021.pdf. Acesso em 02 abr. 2026.</w:t>
      </w:r>
    </w:p>
    <w:p w:rsidR="00E8006B" w:rsidRDefault="009B70C8">
      <w:pPr>
        <w:spacing w:before="240" w:after="240" w:line="360" w:lineRule="auto"/>
        <w:jc w:val="both"/>
        <w:rPr>
          <w:sz w:val="22"/>
          <w:szCs w:val="22"/>
        </w:rPr>
      </w:pPr>
      <w:r>
        <w:rPr>
          <w:sz w:val="22"/>
          <w:szCs w:val="22"/>
        </w:rPr>
        <w:lastRenderedPageBreak/>
        <w:t xml:space="preserve">CAIXA ECONÔMICA FEDERAL. </w:t>
      </w:r>
      <w:r>
        <w:rPr>
          <w:b/>
          <w:bCs/>
          <w:sz w:val="22"/>
          <w:szCs w:val="22"/>
        </w:rPr>
        <w:t>A sorte em números: relatório 2022. [</w:t>
      </w:r>
      <w:proofErr w:type="gramStart"/>
      <w:r>
        <w:rPr>
          <w:b/>
          <w:bCs/>
          <w:sz w:val="22"/>
          <w:szCs w:val="22"/>
        </w:rPr>
        <w:t>s</w:t>
      </w:r>
      <w:proofErr w:type="gramEnd"/>
      <w:r>
        <w:rPr>
          <w:b/>
          <w:bCs/>
          <w:sz w:val="22"/>
          <w:szCs w:val="22"/>
        </w:rPr>
        <w:t>/l]</w:t>
      </w:r>
      <w:r>
        <w:rPr>
          <w:sz w:val="22"/>
          <w:szCs w:val="22"/>
        </w:rPr>
        <w:t>: 2022. Disponível em: https://www.caixa.gov.br/Downloads/caixa-governanca/relatorio-integrado-2022.pdf. Acesso em 02 abr. 2026.</w:t>
      </w:r>
    </w:p>
    <w:p w:rsidR="00E8006B" w:rsidRDefault="009B70C8">
      <w:pPr>
        <w:spacing w:before="240" w:after="240" w:line="360" w:lineRule="auto"/>
        <w:jc w:val="both"/>
        <w:rPr>
          <w:sz w:val="22"/>
          <w:szCs w:val="22"/>
        </w:rPr>
      </w:pPr>
      <w:r>
        <w:rPr>
          <w:sz w:val="22"/>
          <w:szCs w:val="22"/>
        </w:rPr>
        <w:t xml:space="preserve">CAIXA ECONÔMICA FEDERAL. </w:t>
      </w:r>
      <w:r>
        <w:rPr>
          <w:b/>
          <w:bCs/>
          <w:sz w:val="22"/>
          <w:szCs w:val="22"/>
        </w:rPr>
        <w:t>A sorte em números: relatório 2023. [</w:t>
      </w:r>
      <w:proofErr w:type="gramStart"/>
      <w:r>
        <w:rPr>
          <w:b/>
          <w:bCs/>
          <w:sz w:val="22"/>
          <w:szCs w:val="22"/>
        </w:rPr>
        <w:t>s</w:t>
      </w:r>
      <w:proofErr w:type="gramEnd"/>
      <w:r>
        <w:rPr>
          <w:b/>
          <w:bCs/>
          <w:sz w:val="22"/>
          <w:szCs w:val="22"/>
        </w:rPr>
        <w:t>/l]</w:t>
      </w:r>
      <w:r>
        <w:rPr>
          <w:sz w:val="22"/>
          <w:szCs w:val="22"/>
        </w:rPr>
        <w:t>: 2023. Disponível em: https://www.caixa.gov.br/Downloads/caixa-loterias/sorte_numeros_2023.pdf. Acesso em 02 abr. 2026.</w:t>
      </w:r>
    </w:p>
    <w:p w:rsidR="00E8006B" w:rsidRDefault="009B70C8">
      <w:pPr>
        <w:spacing w:before="240" w:after="240" w:line="360" w:lineRule="auto"/>
        <w:jc w:val="both"/>
        <w:rPr>
          <w:sz w:val="22"/>
          <w:szCs w:val="22"/>
        </w:rPr>
      </w:pPr>
      <w:r>
        <w:rPr>
          <w:sz w:val="22"/>
          <w:szCs w:val="22"/>
        </w:rPr>
        <w:t xml:space="preserve">CAIXA ECONÔMICA FEDERAL. </w:t>
      </w:r>
      <w:r>
        <w:rPr>
          <w:b/>
          <w:bCs/>
          <w:sz w:val="22"/>
          <w:szCs w:val="22"/>
        </w:rPr>
        <w:t>A sorte em números: relatório 2024. [</w:t>
      </w:r>
      <w:proofErr w:type="gramStart"/>
      <w:r>
        <w:rPr>
          <w:b/>
          <w:bCs/>
          <w:sz w:val="22"/>
          <w:szCs w:val="22"/>
        </w:rPr>
        <w:t>s</w:t>
      </w:r>
      <w:proofErr w:type="gramEnd"/>
      <w:r>
        <w:rPr>
          <w:b/>
          <w:bCs/>
          <w:sz w:val="22"/>
          <w:szCs w:val="22"/>
        </w:rPr>
        <w:t>/l]</w:t>
      </w:r>
      <w:r>
        <w:rPr>
          <w:sz w:val="22"/>
          <w:szCs w:val="22"/>
        </w:rPr>
        <w:t>: 2024. Disponível em: https://www.caixa.gov.br/Downloads/caixa-loterias/a-sorte-em-numeros-2024.pdf. Acesso em 02 abr. 2026.</w:t>
      </w:r>
    </w:p>
    <w:p w:rsidR="00E8006B" w:rsidRDefault="009B70C8">
      <w:pPr>
        <w:spacing w:before="240" w:after="240" w:line="360" w:lineRule="auto"/>
        <w:jc w:val="both"/>
        <w:rPr>
          <w:rFonts w:eastAsia="Aptos"/>
          <w:sz w:val="22"/>
          <w:szCs w:val="22"/>
        </w:rPr>
      </w:pPr>
      <w:r>
        <w:rPr>
          <w:rFonts w:eastAsia="Aptos"/>
          <w:sz w:val="22"/>
          <w:szCs w:val="22"/>
        </w:rPr>
        <w:t xml:space="preserve">CAMARGO, </w:t>
      </w:r>
      <w:proofErr w:type="spellStart"/>
      <w:r>
        <w:rPr>
          <w:rFonts w:eastAsia="Aptos"/>
          <w:sz w:val="22"/>
          <w:szCs w:val="22"/>
        </w:rPr>
        <w:t>Philipe</w:t>
      </w:r>
      <w:proofErr w:type="spellEnd"/>
      <w:r>
        <w:rPr>
          <w:rFonts w:eastAsia="Aptos"/>
          <w:sz w:val="22"/>
          <w:szCs w:val="22"/>
        </w:rPr>
        <w:t xml:space="preserve">; PIGGIN, Joe; MEZZADRI, Fernando. </w:t>
      </w:r>
      <w:r>
        <w:rPr>
          <w:rFonts w:eastAsia="Aptos"/>
          <w:b/>
          <w:bCs/>
          <w:sz w:val="22"/>
          <w:szCs w:val="22"/>
        </w:rPr>
        <w:t xml:space="preserve">The </w:t>
      </w:r>
      <w:proofErr w:type="spellStart"/>
      <w:r>
        <w:rPr>
          <w:rFonts w:eastAsia="Aptos"/>
          <w:b/>
          <w:bCs/>
          <w:sz w:val="22"/>
          <w:szCs w:val="22"/>
        </w:rPr>
        <w:t>politics</w:t>
      </w:r>
      <w:proofErr w:type="spellEnd"/>
      <w:r>
        <w:rPr>
          <w:rFonts w:eastAsia="Aptos"/>
          <w:b/>
          <w:bCs/>
          <w:sz w:val="22"/>
          <w:szCs w:val="22"/>
        </w:rPr>
        <w:t xml:space="preserve"> </w:t>
      </w:r>
      <w:proofErr w:type="spellStart"/>
      <w:r>
        <w:rPr>
          <w:rFonts w:eastAsia="Aptos"/>
          <w:b/>
          <w:bCs/>
          <w:sz w:val="22"/>
          <w:szCs w:val="22"/>
        </w:rPr>
        <w:t>of</w:t>
      </w:r>
      <w:proofErr w:type="spellEnd"/>
      <w:r>
        <w:rPr>
          <w:rFonts w:eastAsia="Aptos"/>
          <w:b/>
          <w:bCs/>
          <w:sz w:val="22"/>
          <w:szCs w:val="22"/>
        </w:rPr>
        <w:t xml:space="preserve"> </w:t>
      </w:r>
      <w:proofErr w:type="spellStart"/>
      <w:r>
        <w:rPr>
          <w:rFonts w:eastAsia="Aptos"/>
          <w:b/>
          <w:bCs/>
          <w:sz w:val="22"/>
          <w:szCs w:val="22"/>
        </w:rPr>
        <w:t>sport</w:t>
      </w:r>
      <w:proofErr w:type="spellEnd"/>
      <w:r>
        <w:rPr>
          <w:rFonts w:eastAsia="Aptos"/>
          <w:b/>
          <w:bCs/>
          <w:sz w:val="22"/>
          <w:szCs w:val="22"/>
        </w:rPr>
        <w:t xml:space="preserve"> </w:t>
      </w:r>
      <w:proofErr w:type="spellStart"/>
      <w:r>
        <w:rPr>
          <w:rFonts w:eastAsia="Aptos"/>
          <w:b/>
          <w:bCs/>
          <w:sz w:val="22"/>
          <w:szCs w:val="22"/>
        </w:rPr>
        <w:t>funding</w:t>
      </w:r>
      <w:proofErr w:type="spellEnd"/>
      <w:r>
        <w:rPr>
          <w:rFonts w:eastAsia="Aptos"/>
          <w:b/>
          <w:bCs/>
          <w:sz w:val="22"/>
          <w:szCs w:val="22"/>
        </w:rPr>
        <w:t xml:space="preserve"> in </w:t>
      </w:r>
      <w:proofErr w:type="spellStart"/>
      <w:r>
        <w:rPr>
          <w:rFonts w:eastAsia="Aptos"/>
          <w:b/>
          <w:bCs/>
          <w:sz w:val="22"/>
          <w:szCs w:val="22"/>
        </w:rPr>
        <w:t>Brazil</w:t>
      </w:r>
      <w:proofErr w:type="spellEnd"/>
      <w:r>
        <w:rPr>
          <w:rFonts w:eastAsia="Aptos"/>
          <w:b/>
          <w:bCs/>
          <w:sz w:val="22"/>
          <w:szCs w:val="22"/>
        </w:rPr>
        <w:t xml:space="preserve">: a </w:t>
      </w:r>
      <w:proofErr w:type="spellStart"/>
      <w:r>
        <w:rPr>
          <w:rFonts w:eastAsia="Aptos"/>
          <w:b/>
          <w:bCs/>
          <w:sz w:val="22"/>
          <w:szCs w:val="22"/>
        </w:rPr>
        <w:t>multiple</w:t>
      </w:r>
      <w:proofErr w:type="spellEnd"/>
      <w:r>
        <w:rPr>
          <w:rFonts w:eastAsia="Aptos"/>
          <w:b/>
          <w:bCs/>
          <w:sz w:val="22"/>
          <w:szCs w:val="22"/>
        </w:rPr>
        <w:t xml:space="preserve"> </w:t>
      </w:r>
      <w:proofErr w:type="spellStart"/>
      <w:r>
        <w:rPr>
          <w:rFonts w:eastAsia="Aptos"/>
          <w:b/>
          <w:bCs/>
          <w:sz w:val="22"/>
          <w:szCs w:val="22"/>
        </w:rPr>
        <w:t>streams</w:t>
      </w:r>
      <w:proofErr w:type="spellEnd"/>
      <w:r>
        <w:rPr>
          <w:rFonts w:eastAsia="Aptos"/>
          <w:b/>
          <w:bCs/>
          <w:sz w:val="22"/>
          <w:szCs w:val="22"/>
        </w:rPr>
        <w:t xml:space="preserve"> </w:t>
      </w:r>
      <w:proofErr w:type="spellStart"/>
      <w:r>
        <w:rPr>
          <w:rFonts w:eastAsia="Aptos"/>
          <w:b/>
          <w:bCs/>
          <w:sz w:val="22"/>
          <w:szCs w:val="22"/>
        </w:rPr>
        <w:t>analysis</w:t>
      </w:r>
      <w:proofErr w:type="spellEnd"/>
      <w:r>
        <w:rPr>
          <w:rFonts w:eastAsia="Aptos"/>
          <w:b/>
          <w:bCs/>
          <w:sz w:val="22"/>
          <w:szCs w:val="22"/>
        </w:rPr>
        <w:t>.</w:t>
      </w:r>
      <w:r>
        <w:rPr>
          <w:rFonts w:eastAsia="Aptos"/>
          <w:sz w:val="22"/>
          <w:szCs w:val="22"/>
        </w:rPr>
        <w:t xml:space="preserve"> </w:t>
      </w:r>
      <w:proofErr w:type="spellStart"/>
      <w:r>
        <w:rPr>
          <w:rFonts w:eastAsia="Aptos"/>
          <w:sz w:val="22"/>
          <w:szCs w:val="22"/>
        </w:rPr>
        <w:t>International</w:t>
      </w:r>
      <w:proofErr w:type="spellEnd"/>
      <w:r>
        <w:rPr>
          <w:rFonts w:eastAsia="Aptos"/>
          <w:sz w:val="22"/>
          <w:szCs w:val="22"/>
        </w:rPr>
        <w:t xml:space="preserve"> </w:t>
      </w:r>
      <w:proofErr w:type="spellStart"/>
      <w:r>
        <w:rPr>
          <w:rFonts w:eastAsia="Aptos"/>
          <w:sz w:val="22"/>
          <w:szCs w:val="22"/>
        </w:rPr>
        <w:t>Journal</w:t>
      </w:r>
      <w:proofErr w:type="spellEnd"/>
      <w:r>
        <w:rPr>
          <w:rFonts w:eastAsia="Aptos"/>
          <w:sz w:val="22"/>
          <w:szCs w:val="22"/>
        </w:rPr>
        <w:t xml:space="preserve"> </w:t>
      </w:r>
      <w:proofErr w:type="spellStart"/>
      <w:r>
        <w:rPr>
          <w:rFonts w:eastAsia="Aptos"/>
          <w:sz w:val="22"/>
          <w:szCs w:val="22"/>
        </w:rPr>
        <w:t>of</w:t>
      </w:r>
      <w:proofErr w:type="spellEnd"/>
      <w:r>
        <w:rPr>
          <w:rFonts w:eastAsia="Aptos"/>
          <w:sz w:val="22"/>
          <w:szCs w:val="22"/>
        </w:rPr>
        <w:t xml:space="preserve"> Sport </w:t>
      </w:r>
      <w:proofErr w:type="spellStart"/>
      <w:r>
        <w:rPr>
          <w:rFonts w:eastAsia="Aptos"/>
          <w:sz w:val="22"/>
          <w:szCs w:val="22"/>
        </w:rPr>
        <w:t>Policy</w:t>
      </w:r>
      <w:proofErr w:type="spellEnd"/>
      <w:r>
        <w:rPr>
          <w:rFonts w:eastAsia="Aptos"/>
          <w:sz w:val="22"/>
          <w:szCs w:val="22"/>
        </w:rPr>
        <w:t xml:space="preserve"> </w:t>
      </w:r>
      <w:proofErr w:type="spellStart"/>
      <w:r>
        <w:rPr>
          <w:rFonts w:eastAsia="Aptos"/>
          <w:sz w:val="22"/>
          <w:szCs w:val="22"/>
        </w:rPr>
        <w:t>and</w:t>
      </w:r>
      <w:proofErr w:type="spellEnd"/>
      <w:r>
        <w:rPr>
          <w:rFonts w:eastAsia="Aptos"/>
          <w:sz w:val="22"/>
          <w:szCs w:val="22"/>
        </w:rPr>
        <w:t xml:space="preserve"> </w:t>
      </w:r>
      <w:proofErr w:type="spellStart"/>
      <w:r>
        <w:rPr>
          <w:rFonts w:eastAsia="Aptos"/>
          <w:sz w:val="22"/>
          <w:szCs w:val="22"/>
        </w:rPr>
        <w:t>Politics</w:t>
      </w:r>
      <w:proofErr w:type="spellEnd"/>
      <w:r>
        <w:rPr>
          <w:rFonts w:eastAsia="Aptos"/>
          <w:sz w:val="22"/>
          <w:szCs w:val="22"/>
        </w:rPr>
        <w:t xml:space="preserve">, v. 12, n. 4, p. 599-615, 2020. </w:t>
      </w:r>
    </w:p>
    <w:p w:rsidR="00E8006B" w:rsidRDefault="009B70C8">
      <w:pPr>
        <w:spacing w:before="240" w:after="240" w:line="360" w:lineRule="auto"/>
        <w:jc w:val="both"/>
        <w:rPr>
          <w:rFonts w:eastAsia="Aptos"/>
          <w:sz w:val="22"/>
          <w:szCs w:val="22"/>
        </w:rPr>
      </w:pPr>
      <w:r>
        <w:rPr>
          <w:rFonts w:eastAsia="Aptos"/>
          <w:sz w:val="22"/>
          <w:szCs w:val="22"/>
        </w:rPr>
        <w:t xml:space="preserve">CARNEIRO, Fernando Henrique Silva; et al. </w:t>
      </w:r>
      <w:r>
        <w:rPr>
          <w:rFonts w:eastAsia="Aptos"/>
          <w:b/>
          <w:bCs/>
          <w:sz w:val="22"/>
          <w:szCs w:val="22"/>
        </w:rPr>
        <w:t>A disputa pelo fundo público no financiamento e gasto com esporte nos governos Lula e Dilma.</w:t>
      </w:r>
      <w:r>
        <w:rPr>
          <w:rFonts w:eastAsia="Aptos"/>
          <w:sz w:val="22"/>
          <w:szCs w:val="22"/>
        </w:rPr>
        <w:t xml:space="preserve"> Movimento, v. 26, e26056, 2020.</w:t>
      </w:r>
    </w:p>
    <w:p w:rsidR="00E8006B" w:rsidRDefault="009B70C8">
      <w:pPr>
        <w:spacing w:before="240" w:after="240" w:line="360" w:lineRule="auto"/>
        <w:jc w:val="both"/>
        <w:rPr>
          <w:rFonts w:eastAsia="Aptos"/>
          <w:sz w:val="22"/>
          <w:szCs w:val="22"/>
        </w:rPr>
      </w:pPr>
      <w:r>
        <w:rPr>
          <w:rFonts w:eastAsia="Aptos"/>
          <w:sz w:val="22"/>
          <w:szCs w:val="22"/>
        </w:rPr>
        <w:t xml:space="preserve">CARNEIRO, Fernando Henrique Silva; et al. </w:t>
      </w:r>
      <w:r>
        <w:rPr>
          <w:rFonts w:eastAsia="Aptos"/>
          <w:b/>
          <w:bCs/>
          <w:sz w:val="22"/>
          <w:szCs w:val="22"/>
        </w:rPr>
        <w:t>Os gastos tributários com esporte nos governos Lula e Dilma.</w:t>
      </w:r>
      <w:r>
        <w:rPr>
          <w:rFonts w:eastAsia="Aptos"/>
          <w:sz w:val="22"/>
          <w:szCs w:val="22"/>
        </w:rPr>
        <w:t xml:space="preserve"> Movimento, v. 25, e25059, 2019.</w:t>
      </w:r>
    </w:p>
    <w:p w:rsidR="00E8006B" w:rsidRDefault="009B70C8">
      <w:pPr>
        <w:spacing w:before="240" w:after="240" w:line="360" w:lineRule="auto"/>
        <w:jc w:val="both"/>
        <w:rPr>
          <w:rFonts w:eastAsia="Aptos"/>
          <w:sz w:val="22"/>
          <w:szCs w:val="22"/>
        </w:rPr>
      </w:pPr>
      <w:r>
        <w:rPr>
          <w:rFonts w:eastAsia="Aptos"/>
          <w:sz w:val="22"/>
          <w:szCs w:val="22"/>
        </w:rPr>
        <w:t xml:space="preserve">CARNEIRO, Fernando Henrique Silva; MASCARENHAS, Fernando; ATHAYDE, Pedro Fernando </w:t>
      </w:r>
      <w:proofErr w:type="spellStart"/>
      <w:r>
        <w:rPr>
          <w:rFonts w:eastAsia="Aptos"/>
          <w:sz w:val="22"/>
          <w:szCs w:val="22"/>
        </w:rPr>
        <w:t>Avalone</w:t>
      </w:r>
      <w:proofErr w:type="spellEnd"/>
      <w:r>
        <w:rPr>
          <w:rFonts w:eastAsia="Aptos"/>
          <w:sz w:val="22"/>
          <w:szCs w:val="22"/>
        </w:rPr>
        <w:t xml:space="preserve">. </w:t>
      </w:r>
      <w:r>
        <w:rPr>
          <w:rFonts w:eastAsia="Aptos"/>
          <w:b/>
          <w:bCs/>
          <w:sz w:val="22"/>
          <w:szCs w:val="22"/>
        </w:rPr>
        <w:t>Era uma vez um Ministério do Esporte...: seu financiamento e gasto nos governos Lula, Dilma e Temer</w:t>
      </w:r>
      <w:r>
        <w:rPr>
          <w:rFonts w:eastAsia="Aptos"/>
          <w:sz w:val="22"/>
          <w:szCs w:val="22"/>
        </w:rPr>
        <w:t xml:space="preserve">. </w:t>
      </w:r>
      <w:proofErr w:type="spellStart"/>
      <w:r>
        <w:rPr>
          <w:rFonts w:eastAsia="Aptos"/>
          <w:sz w:val="22"/>
          <w:szCs w:val="22"/>
        </w:rPr>
        <w:t>Motrivivência</w:t>
      </w:r>
      <w:proofErr w:type="spellEnd"/>
      <w:r>
        <w:rPr>
          <w:rFonts w:eastAsia="Aptos"/>
          <w:sz w:val="22"/>
          <w:szCs w:val="22"/>
        </w:rPr>
        <w:t>, v. 31, n. 60, 2019.</w:t>
      </w:r>
    </w:p>
    <w:p w:rsidR="00E8006B" w:rsidRDefault="009B70C8">
      <w:pPr>
        <w:spacing w:before="240" w:after="240" w:line="360" w:lineRule="auto"/>
        <w:jc w:val="both"/>
        <w:rPr>
          <w:sz w:val="22"/>
          <w:szCs w:val="22"/>
        </w:rPr>
      </w:pPr>
      <w:r>
        <w:rPr>
          <w:sz w:val="22"/>
          <w:szCs w:val="22"/>
        </w:rPr>
        <w:t xml:space="preserve">CBDU. </w:t>
      </w:r>
      <w:r>
        <w:rPr>
          <w:b/>
          <w:bCs/>
          <w:sz w:val="22"/>
          <w:szCs w:val="22"/>
        </w:rPr>
        <w:t>Ofício n 115/2025. [</w:t>
      </w:r>
      <w:proofErr w:type="gramStart"/>
      <w:r>
        <w:rPr>
          <w:b/>
          <w:bCs/>
          <w:sz w:val="22"/>
          <w:szCs w:val="22"/>
        </w:rPr>
        <w:t>s</w:t>
      </w:r>
      <w:proofErr w:type="gramEnd"/>
      <w:r>
        <w:rPr>
          <w:b/>
          <w:bCs/>
          <w:sz w:val="22"/>
          <w:szCs w:val="22"/>
        </w:rPr>
        <w:t>/l]</w:t>
      </w:r>
      <w:r>
        <w:rPr>
          <w:sz w:val="22"/>
          <w:szCs w:val="22"/>
        </w:rPr>
        <w:t>: 2025. Disponível em: https://www.cbdu.org.br/DriveFiles/Index/1FEGeM0bhBHN4OLOO_DuakW5tkQk7vNr2. Acesso em 02 abr. 2026.</w:t>
      </w:r>
    </w:p>
    <w:p w:rsidR="00E8006B" w:rsidRDefault="009B70C8">
      <w:pPr>
        <w:spacing w:before="240" w:after="240" w:line="360" w:lineRule="auto"/>
        <w:jc w:val="both"/>
        <w:rPr>
          <w:rFonts w:eastAsia="Aptos"/>
          <w:sz w:val="22"/>
          <w:szCs w:val="22"/>
        </w:rPr>
      </w:pPr>
      <w:r>
        <w:rPr>
          <w:rFonts w:eastAsia="Aptos"/>
          <w:sz w:val="22"/>
          <w:szCs w:val="22"/>
        </w:rPr>
        <w:t xml:space="preserve">FERREIRA, Natália Ingrid de Oliveira; CINTRA, Ricardo Ferreira. </w:t>
      </w:r>
      <w:r>
        <w:rPr>
          <w:rFonts w:eastAsia="Aptos"/>
          <w:b/>
          <w:bCs/>
          <w:sz w:val="22"/>
          <w:szCs w:val="22"/>
        </w:rPr>
        <w:t>O esporte e o lazer no programa nacional de assistência estudantil: revisão sistemática da literatura</w:t>
      </w:r>
      <w:r>
        <w:rPr>
          <w:rFonts w:eastAsia="Aptos"/>
          <w:sz w:val="22"/>
          <w:szCs w:val="22"/>
        </w:rPr>
        <w:t xml:space="preserve">. </w:t>
      </w:r>
      <w:proofErr w:type="spellStart"/>
      <w:r>
        <w:rPr>
          <w:rFonts w:eastAsia="Aptos"/>
          <w:sz w:val="22"/>
          <w:szCs w:val="22"/>
        </w:rPr>
        <w:t>Licere</w:t>
      </w:r>
      <w:proofErr w:type="spellEnd"/>
      <w:r>
        <w:rPr>
          <w:rFonts w:eastAsia="Aptos"/>
          <w:sz w:val="22"/>
          <w:szCs w:val="22"/>
        </w:rPr>
        <w:t>, v. 26, n. 4, p. 300-321, 2023.</w:t>
      </w:r>
    </w:p>
    <w:p w:rsidR="00E8006B" w:rsidRDefault="009B70C8">
      <w:pPr>
        <w:spacing w:before="240" w:after="240" w:line="360" w:lineRule="auto"/>
        <w:jc w:val="both"/>
        <w:rPr>
          <w:rFonts w:eastAsia="Aptos"/>
          <w:sz w:val="22"/>
          <w:szCs w:val="22"/>
          <w:lang w:val="es-ES"/>
        </w:rPr>
      </w:pPr>
      <w:r>
        <w:rPr>
          <w:rFonts w:eastAsia="Aptos"/>
          <w:sz w:val="22"/>
          <w:szCs w:val="22"/>
        </w:rPr>
        <w:t xml:space="preserve">GREEN, Mick. </w:t>
      </w:r>
      <w:proofErr w:type="spellStart"/>
      <w:r>
        <w:rPr>
          <w:rFonts w:eastAsia="Aptos"/>
          <w:b/>
          <w:bCs/>
          <w:sz w:val="22"/>
          <w:szCs w:val="22"/>
        </w:rPr>
        <w:t>From</w:t>
      </w:r>
      <w:proofErr w:type="spellEnd"/>
      <w:r>
        <w:rPr>
          <w:rFonts w:eastAsia="Aptos"/>
          <w:b/>
          <w:bCs/>
          <w:sz w:val="22"/>
          <w:szCs w:val="22"/>
        </w:rPr>
        <w:t xml:space="preserve"> "</w:t>
      </w:r>
      <w:proofErr w:type="spellStart"/>
      <w:r>
        <w:rPr>
          <w:rFonts w:eastAsia="Aptos"/>
          <w:b/>
          <w:bCs/>
          <w:sz w:val="22"/>
          <w:szCs w:val="22"/>
        </w:rPr>
        <w:t>sport</w:t>
      </w:r>
      <w:proofErr w:type="spellEnd"/>
      <w:r>
        <w:rPr>
          <w:rFonts w:eastAsia="Aptos"/>
          <w:b/>
          <w:bCs/>
          <w:sz w:val="22"/>
          <w:szCs w:val="22"/>
        </w:rPr>
        <w:t xml:space="preserve"> for </w:t>
      </w:r>
      <w:proofErr w:type="spellStart"/>
      <w:r>
        <w:rPr>
          <w:rFonts w:eastAsia="Aptos"/>
          <w:b/>
          <w:bCs/>
          <w:sz w:val="22"/>
          <w:szCs w:val="22"/>
        </w:rPr>
        <w:t>all</w:t>
      </w:r>
      <w:proofErr w:type="spellEnd"/>
      <w:r>
        <w:rPr>
          <w:rFonts w:eastAsia="Aptos"/>
          <w:b/>
          <w:bCs/>
          <w:sz w:val="22"/>
          <w:szCs w:val="22"/>
        </w:rPr>
        <w:t xml:space="preserve">" </w:t>
      </w:r>
      <w:proofErr w:type="spellStart"/>
      <w:r>
        <w:rPr>
          <w:rFonts w:eastAsia="Aptos"/>
          <w:b/>
          <w:bCs/>
          <w:sz w:val="22"/>
          <w:szCs w:val="22"/>
        </w:rPr>
        <w:t>to</w:t>
      </w:r>
      <w:proofErr w:type="spellEnd"/>
      <w:r>
        <w:rPr>
          <w:rFonts w:eastAsia="Aptos"/>
          <w:b/>
          <w:bCs/>
          <w:sz w:val="22"/>
          <w:szCs w:val="22"/>
        </w:rPr>
        <w:t xml:space="preserve"> </w:t>
      </w:r>
      <w:proofErr w:type="spellStart"/>
      <w:r>
        <w:rPr>
          <w:rFonts w:eastAsia="Aptos"/>
          <w:b/>
          <w:bCs/>
          <w:sz w:val="22"/>
          <w:szCs w:val="22"/>
        </w:rPr>
        <w:t>not</w:t>
      </w:r>
      <w:proofErr w:type="spellEnd"/>
      <w:r>
        <w:rPr>
          <w:rFonts w:eastAsia="Aptos"/>
          <w:b/>
          <w:bCs/>
          <w:sz w:val="22"/>
          <w:szCs w:val="22"/>
        </w:rPr>
        <w:t xml:space="preserve"> </w:t>
      </w:r>
      <w:proofErr w:type="spellStart"/>
      <w:r>
        <w:rPr>
          <w:rFonts w:eastAsia="Aptos"/>
          <w:b/>
          <w:bCs/>
          <w:sz w:val="22"/>
          <w:szCs w:val="22"/>
        </w:rPr>
        <w:t>about</w:t>
      </w:r>
      <w:proofErr w:type="spellEnd"/>
      <w:r>
        <w:rPr>
          <w:rFonts w:eastAsia="Aptos"/>
          <w:b/>
          <w:bCs/>
          <w:sz w:val="22"/>
          <w:szCs w:val="22"/>
        </w:rPr>
        <w:t xml:space="preserve"> "</w:t>
      </w:r>
      <w:proofErr w:type="spellStart"/>
      <w:r>
        <w:rPr>
          <w:rFonts w:eastAsia="Aptos"/>
          <w:b/>
          <w:bCs/>
          <w:sz w:val="22"/>
          <w:szCs w:val="22"/>
        </w:rPr>
        <w:t>sport</w:t>
      </w:r>
      <w:proofErr w:type="spellEnd"/>
      <w:r>
        <w:rPr>
          <w:rFonts w:eastAsia="Aptos"/>
          <w:b/>
          <w:bCs/>
          <w:sz w:val="22"/>
          <w:szCs w:val="22"/>
        </w:rPr>
        <w:t xml:space="preserve">" </w:t>
      </w:r>
      <w:proofErr w:type="spellStart"/>
      <w:r>
        <w:rPr>
          <w:rFonts w:eastAsia="Aptos"/>
          <w:b/>
          <w:bCs/>
          <w:sz w:val="22"/>
          <w:szCs w:val="22"/>
        </w:rPr>
        <w:t>at</w:t>
      </w:r>
      <w:proofErr w:type="spellEnd"/>
      <w:r>
        <w:rPr>
          <w:rFonts w:eastAsia="Aptos"/>
          <w:b/>
          <w:bCs/>
          <w:sz w:val="22"/>
          <w:szCs w:val="22"/>
        </w:rPr>
        <w:t xml:space="preserve"> </w:t>
      </w:r>
      <w:proofErr w:type="spellStart"/>
      <w:proofErr w:type="gramStart"/>
      <w:r>
        <w:rPr>
          <w:rFonts w:eastAsia="Aptos"/>
          <w:b/>
          <w:bCs/>
          <w:sz w:val="22"/>
          <w:szCs w:val="22"/>
        </w:rPr>
        <w:t>all</w:t>
      </w:r>
      <w:proofErr w:type="spellEnd"/>
      <w:r>
        <w:rPr>
          <w:rFonts w:eastAsia="Aptos"/>
          <w:b/>
          <w:bCs/>
          <w:sz w:val="22"/>
          <w:szCs w:val="22"/>
        </w:rPr>
        <w:t>?:</w:t>
      </w:r>
      <w:proofErr w:type="gramEnd"/>
      <w:r>
        <w:rPr>
          <w:rFonts w:eastAsia="Aptos"/>
          <w:b/>
          <w:bCs/>
          <w:sz w:val="22"/>
          <w:szCs w:val="22"/>
        </w:rPr>
        <w:t xml:space="preserve"> </w:t>
      </w:r>
      <w:proofErr w:type="spellStart"/>
      <w:r>
        <w:rPr>
          <w:rFonts w:eastAsia="Aptos"/>
          <w:b/>
          <w:bCs/>
          <w:sz w:val="22"/>
          <w:szCs w:val="22"/>
        </w:rPr>
        <w:t>interrogating</w:t>
      </w:r>
      <w:proofErr w:type="spellEnd"/>
      <w:r>
        <w:rPr>
          <w:rFonts w:eastAsia="Aptos"/>
          <w:b/>
          <w:bCs/>
          <w:sz w:val="22"/>
          <w:szCs w:val="22"/>
        </w:rPr>
        <w:t xml:space="preserve"> </w:t>
      </w:r>
      <w:proofErr w:type="spellStart"/>
      <w:r>
        <w:rPr>
          <w:rFonts w:eastAsia="Aptos"/>
          <w:b/>
          <w:bCs/>
          <w:sz w:val="22"/>
          <w:szCs w:val="22"/>
        </w:rPr>
        <w:t>sport</w:t>
      </w:r>
      <w:proofErr w:type="spellEnd"/>
      <w:r>
        <w:rPr>
          <w:rFonts w:eastAsia="Aptos"/>
          <w:b/>
          <w:bCs/>
          <w:sz w:val="22"/>
          <w:szCs w:val="22"/>
        </w:rPr>
        <w:t xml:space="preserve"> </w:t>
      </w:r>
      <w:proofErr w:type="spellStart"/>
      <w:r>
        <w:rPr>
          <w:rFonts w:eastAsia="Aptos"/>
          <w:b/>
          <w:bCs/>
          <w:sz w:val="22"/>
          <w:szCs w:val="22"/>
        </w:rPr>
        <w:t>policy</w:t>
      </w:r>
      <w:proofErr w:type="spellEnd"/>
      <w:r>
        <w:rPr>
          <w:rFonts w:eastAsia="Aptos"/>
          <w:b/>
          <w:bCs/>
          <w:sz w:val="22"/>
          <w:szCs w:val="22"/>
        </w:rPr>
        <w:t xml:space="preserve"> </w:t>
      </w:r>
      <w:proofErr w:type="spellStart"/>
      <w:r>
        <w:rPr>
          <w:rFonts w:eastAsia="Aptos"/>
          <w:b/>
          <w:bCs/>
          <w:sz w:val="22"/>
          <w:szCs w:val="22"/>
        </w:rPr>
        <w:t>interventions</w:t>
      </w:r>
      <w:proofErr w:type="spellEnd"/>
      <w:r>
        <w:rPr>
          <w:rFonts w:eastAsia="Aptos"/>
          <w:b/>
          <w:bCs/>
          <w:sz w:val="22"/>
          <w:szCs w:val="22"/>
        </w:rPr>
        <w:t xml:space="preserve"> in </w:t>
      </w:r>
      <w:proofErr w:type="spellStart"/>
      <w:r>
        <w:rPr>
          <w:rFonts w:eastAsia="Aptos"/>
          <w:b/>
          <w:bCs/>
          <w:sz w:val="22"/>
          <w:szCs w:val="22"/>
        </w:rPr>
        <w:t>the</w:t>
      </w:r>
      <w:proofErr w:type="spellEnd"/>
      <w:r>
        <w:rPr>
          <w:rFonts w:eastAsia="Aptos"/>
          <w:b/>
          <w:bCs/>
          <w:sz w:val="22"/>
          <w:szCs w:val="22"/>
        </w:rPr>
        <w:t xml:space="preserve"> United </w:t>
      </w:r>
      <w:proofErr w:type="spellStart"/>
      <w:r>
        <w:rPr>
          <w:rFonts w:eastAsia="Aptos"/>
          <w:b/>
          <w:bCs/>
          <w:sz w:val="22"/>
          <w:szCs w:val="22"/>
        </w:rPr>
        <w:t>Kingdom</w:t>
      </w:r>
      <w:proofErr w:type="spellEnd"/>
      <w:r>
        <w:rPr>
          <w:rFonts w:eastAsia="Aptos"/>
          <w:sz w:val="22"/>
          <w:szCs w:val="22"/>
        </w:rPr>
        <w:t xml:space="preserve">. </w:t>
      </w:r>
      <w:proofErr w:type="spellStart"/>
      <w:r>
        <w:rPr>
          <w:rFonts w:eastAsia="Aptos"/>
          <w:sz w:val="22"/>
          <w:szCs w:val="22"/>
          <w:lang w:val="es-ES"/>
        </w:rPr>
        <w:t>European</w:t>
      </w:r>
      <w:proofErr w:type="spellEnd"/>
      <w:r>
        <w:rPr>
          <w:rFonts w:eastAsia="Aptos"/>
          <w:sz w:val="22"/>
          <w:szCs w:val="22"/>
          <w:lang w:val="es-ES"/>
        </w:rPr>
        <w:t xml:space="preserve"> Sport Management </w:t>
      </w:r>
      <w:proofErr w:type="spellStart"/>
      <w:r>
        <w:rPr>
          <w:rFonts w:eastAsia="Aptos"/>
          <w:sz w:val="22"/>
          <w:szCs w:val="22"/>
          <w:lang w:val="es-ES"/>
        </w:rPr>
        <w:t>Quarterly</w:t>
      </w:r>
      <w:proofErr w:type="spellEnd"/>
      <w:r>
        <w:rPr>
          <w:rFonts w:eastAsia="Aptos"/>
          <w:sz w:val="22"/>
          <w:szCs w:val="22"/>
          <w:lang w:val="es-ES"/>
        </w:rPr>
        <w:t>, v. 6, n. 3, p. 217-238, 2006.</w:t>
      </w:r>
    </w:p>
    <w:p w:rsidR="00E8006B" w:rsidRDefault="009B70C8">
      <w:pPr>
        <w:spacing w:before="240" w:after="240" w:line="360" w:lineRule="auto"/>
        <w:jc w:val="both"/>
        <w:rPr>
          <w:rFonts w:eastAsia="Arial"/>
          <w:sz w:val="22"/>
          <w:szCs w:val="22"/>
          <w:lang w:val="es-ES"/>
        </w:rPr>
      </w:pPr>
      <w:r>
        <w:rPr>
          <w:rFonts w:eastAsia="Arial"/>
          <w:sz w:val="22"/>
          <w:szCs w:val="22"/>
          <w:lang w:val="es-ES"/>
        </w:rPr>
        <w:t xml:space="preserve">GRIFFITHS, Kerry et al. </w:t>
      </w:r>
      <w:proofErr w:type="spellStart"/>
      <w:r>
        <w:rPr>
          <w:rFonts w:eastAsia="Arial"/>
          <w:b/>
          <w:bCs/>
          <w:sz w:val="22"/>
          <w:szCs w:val="22"/>
          <w:lang w:val="es-ES"/>
        </w:rPr>
        <w:t>The</w:t>
      </w:r>
      <w:proofErr w:type="spellEnd"/>
      <w:r>
        <w:rPr>
          <w:rFonts w:eastAsia="Arial"/>
          <w:b/>
          <w:bCs/>
          <w:sz w:val="22"/>
          <w:szCs w:val="22"/>
          <w:lang w:val="es-ES"/>
        </w:rPr>
        <w:t xml:space="preserve"> </w:t>
      </w:r>
      <w:proofErr w:type="spellStart"/>
      <w:r>
        <w:rPr>
          <w:rFonts w:eastAsia="Arial"/>
          <w:b/>
          <w:bCs/>
          <w:sz w:val="22"/>
          <w:szCs w:val="22"/>
          <w:lang w:val="es-ES"/>
        </w:rPr>
        <w:t>impact</w:t>
      </w:r>
      <w:proofErr w:type="spellEnd"/>
      <w:r>
        <w:rPr>
          <w:rFonts w:eastAsia="Arial"/>
          <w:b/>
          <w:bCs/>
          <w:sz w:val="22"/>
          <w:szCs w:val="22"/>
          <w:lang w:val="es-ES"/>
        </w:rPr>
        <w:t xml:space="preserve"> of </w:t>
      </w:r>
      <w:proofErr w:type="spellStart"/>
      <w:r>
        <w:rPr>
          <w:rFonts w:eastAsia="Arial"/>
          <w:b/>
          <w:bCs/>
          <w:sz w:val="22"/>
          <w:szCs w:val="22"/>
          <w:lang w:val="es-ES"/>
        </w:rPr>
        <w:t>engagement</w:t>
      </w:r>
      <w:proofErr w:type="spellEnd"/>
      <w:r>
        <w:rPr>
          <w:rFonts w:eastAsia="Arial"/>
          <w:b/>
          <w:bCs/>
          <w:sz w:val="22"/>
          <w:szCs w:val="22"/>
          <w:lang w:val="es-ES"/>
        </w:rPr>
        <w:t xml:space="preserve"> in sport </w:t>
      </w:r>
      <w:proofErr w:type="spellStart"/>
      <w:r>
        <w:rPr>
          <w:rFonts w:eastAsia="Arial"/>
          <w:b/>
          <w:bCs/>
          <w:sz w:val="22"/>
          <w:szCs w:val="22"/>
          <w:lang w:val="es-ES"/>
        </w:rPr>
        <w:t>on</w:t>
      </w:r>
      <w:proofErr w:type="spellEnd"/>
      <w:r>
        <w:rPr>
          <w:rFonts w:eastAsia="Arial"/>
          <w:b/>
          <w:bCs/>
          <w:sz w:val="22"/>
          <w:szCs w:val="22"/>
          <w:lang w:val="es-ES"/>
        </w:rPr>
        <w:t xml:space="preserve"> </w:t>
      </w:r>
      <w:proofErr w:type="spellStart"/>
      <w:r>
        <w:rPr>
          <w:rFonts w:eastAsia="Arial"/>
          <w:b/>
          <w:bCs/>
          <w:sz w:val="22"/>
          <w:szCs w:val="22"/>
          <w:lang w:val="es-ES"/>
        </w:rPr>
        <w:t>graduate</w:t>
      </w:r>
      <w:proofErr w:type="spellEnd"/>
      <w:r>
        <w:rPr>
          <w:rFonts w:eastAsia="Arial"/>
          <w:b/>
          <w:bCs/>
          <w:sz w:val="22"/>
          <w:szCs w:val="22"/>
          <w:lang w:val="es-ES"/>
        </w:rPr>
        <w:t xml:space="preserve"> </w:t>
      </w:r>
      <w:proofErr w:type="spellStart"/>
      <w:r>
        <w:rPr>
          <w:rFonts w:eastAsia="Arial"/>
          <w:b/>
          <w:bCs/>
          <w:sz w:val="22"/>
          <w:szCs w:val="22"/>
          <w:lang w:val="es-ES"/>
        </w:rPr>
        <w:t>employability</w:t>
      </w:r>
      <w:proofErr w:type="spellEnd"/>
      <w:r>
        <w:rPr>
          <w:rFonts w:eastAsia="Arial"/>
          <w:b/>
          <w:bCs/>
          <w:sz w:val="22"/>
          <w:szCs w:val="22"/>
          <w:lang w:val="es-ES"/>
        </w:rPr>
        <w:t xml:space="preserve">: </w:t>
      </w:r>
      <w:proofErr w:type="spellStart"/>
      <w:r>
        <w:rPr>
          <w:rFonts w:eastAsia="Arial"/>
          <w:b/>
          <w:bCs/>
          <w:sz w:val="22"/>
          <w:szCs w:val="22"/>
          <w:lang w:val="es-ES"/>
        </w:rPr>
        <w:t>implications</w:t>
      </w:r>
      <w:proofErr w:type="spellEnd"/>
      <w:r>
        <w:rPr>
          <w:rFonts w:eastAsia="Arial"/>
          <w:b/>
          <w:bCs/>
          <w:sz w:val="22"/>
          <w:szCs w:val="22"/>
          <w:lang w:val="es-ES"/>
        </w:rPr>
        <w:t xml:space="preserve"> </w:t>
      </w:r>
      <w:proofErr w:type="spellStart"/>
      <w:r>
        <w:rPr>
          <w:rFonts w:eastAsia="Arial"/>
          <w:b/>
          <w:bCs/>
          <w:sz w:val="22"/>
          <w:szCs w:val="22"/>
          <w:lang w:val="es-ES"/>
        </w:rPr>
        <w:t>for</w:t>
      </w:r>
      <w:proofErr w:type="spellEnd"/>
      <w:r>
        <w:rPr>
          <w:rFonts w:eastAsia="Arial"/>
          <w:b/>
          <w:bCs/>
          <w:sz w:val="22"/>
          <w:szCs w:val="22"/>
          <w:lang w:val="es-ES"/>
        </w:rPr>
        <w:t xml:space="preserve"> </w:t>
      </w:r>
      <w:proofErr w:type="spellStart"/>
      <w:r>
        <w:rPr>
          <w:rFonts w:eastAsia="Arial"/>
          <w:b/>
          <w:bCs/>
          <w:sz w:val="22"/>
          <w:szCs w:val="22"/>
          <w:lang w:val="es-ES"/>
        </w:rPr>
        <w:t>higher</w:t>
      </w:r>
      <w:proofErr w:type="spellEnd"/>
      <w:r>
        <w:rPr>
          <w:rFonts w:eastAsia="Arial"/>
          <w:b/>
          <w:bCs/>
          <w:sz w:val="22"/>
          <w:szCs w:val="22"/>
          <w:lang w:val="es-ES"/>
        </w:rPr>
        <w:t xml:space="preserve"> </w:t>
      </w:r>
      <w:proofErr w:type="spellStart"/>
      <w:r>
        <w:rPr>
          <w:rFonts w:eastAsia="Arial"/>
          <w:b/>
          <w:bCs/>
          <w:sz w:val="22"/>
          <w:szCs w:val="22"/>
          <w:lang w:val="es-ES"/>
        </w:rPr>
        <w:t>education</w:t>
      </w:r>
      <w:proofErr w:type="spellEnd"/>
      <w:r>
        <w:rPr>
          <w:rFonts w:eastAsia="Arial"/>
          <w:b/>
          <w:bCs/>
          <w:sz w:val="22"/>
          <w:szCs w:val="22"/>
          <w:lang w:val="es-ES"/>
        </w:rPr>
        <w:t xml:space="preserve"> </w:t>
      </w:r>
      <w:proofErr w:type="spellStart"/>
      <w:r>
        <w:rPr>
          <w:rFonts w:eastAsia="Arial"/>
          <w:b/>
          <w:bCs/>
          <w:sz w:val="22"/>
          <w:szCs w:val="22"/>
          <w:lang w:val="es-ES"/>
        </w:rPr>
        <w:t>policy</w:t>
      </w:r>
      <w:proofErr w:type="spellEnd"/>
      <w:r>
        <w:rPr>
          <w:rFonts w:eastAsia="Arial"/>
          <w:b/>
          <w:bCs/>
          <w:sz w:val="22"/>
          <w:szCs w:val="22"/>
          <w:lang w:val="es-ES"/>
        </w:rPr>
        <w:t xml:space="preserve"> and </w:t>
      </w:r>
      <w:proofErr w:type="spellStart"/>
      <w:r>
        <w:rPr>
          <w:rFonts w:eastAsia="Arial"/>
          <w:b/>
          <w:bCs/>
          <w:sz w:val="22"/>
          <w:szCs w:val="22"/>
          <w:lang w:val="es-ES"/>
        </w:rPr>
        <w:t>practice</w:t>
      </w:r>
      <w:proofErr w:type="spellEnd"/>
      <w:r>
        <w:rPr>
          <w:rFonts w:eastAsia="Arial"/>
          <w:b/>
          <w:bCs/>
          <w:sz w:val="22"/>
          <w:szCs w:val="22"/>
          <w:lang w:val="es-ES"/>
        </w:rPr>
        <w:t>.</w:t>
      </w:r>
      <w:r>
        <w:rPr>
          <w:rFonts w:eastAsia="Arial"/>
          <w:sz w:val="22"/>
          <w:szCs w:val="22"/>
          <w:lang w:val="es-ES"/>
        </w:rPr>
        <w:t xml:space="preserve"> International </w:t>
      </w:r>
      <w:proofErr w:type="spellStart"/>
      <w:r>
        <w:rPr>
          <w:rFonts w:eastAsia="Arial"/>
          <w:sz w:val="22"/>
          <w:szCs w:val="22"/>
          <w:lang w:val="es-ES"/>
        </w:rPr>
        <w:t>Journal</w:t>
      </w:r>
      <w:proofErr w:type="spellEnd"/>
      <w:r>
        <w:rPr>
          <w:rFonts w:eastAsia="Arial"/>
          <w:sz w:val="22"/>
          <w:szCs w:val="22"/>
          <w:lang w:val="es-ES"/>
        </w:rPr>
        <w:t xml:space="preserve"> of Sport </w:t>
      </w:r>
      <w:proofErr w:type="spellStart"/>
      <w:r>
        <w:rPr>
          <w:rFonts w:eastAsia="Arial"/>
          <w:sz w:val="22"/>
          <w:szCs w:val="22"/>
          <w:lang w:val="es-ES"/>
        </w:rPr>
        <w:t>Policy</w:t>
      </w:r>
      <w:proofErr w:type="spellEnd"/>
      <w:r>
        <w:rPr>
          <w:rFonts w:eastAsia="Arial"/>
          <w:sz w:val="22"/>
          <w:szCs w:val="22"/>
          <w:lang w:val="es-ES"/>
        </w:rPr>
        <w:t xml:space="preserve"> and </w:t>
      </w:r>
      <w:proofErr w:type="spellStart"/>
      <w:r>
        <w:rPr>
          <w:rFonts w:eastAsia="Arial"/>
          <w:sz w:val="22"/>
          <w:szCs w:val="22"/>
          <w:lang w:val="es-ES"/>
        </w:rPr>
        <w:t>Politics</w:t>
      </w:r>
      <w:proofErr w:type="spellEnd"/>
      <w:r>
        <w:rPr>
          <w:rFonts w:eastAsia="Arial"/>
          <w:sz w:val="22"/>
          <w:szCs w:val="22"/>
          <w:lang w:val="es-ES"/>
        </w:rPr>
        <w:t>, v. 9, n. 3, p. 431-451, 2017.</w:t>
      </w:r>
    </w:p>
    <w:p w:rsidR="00E8006B" w:rsidRDefault="009B70C8">
      <w:pPr>
        <w:spacing w:before="240" w:after="240" w:line="360" w:lineRule="auto"/>
        <w:jc w:val="both"/>
        <w:rPr>
          <w:rFonts w:eastAsia="Aptos"/>
          <w:sz w:val="22"/>
          <w:szCs w:val="22"/>
          <w:lang w:val="es-ES"/>
        </w:rPr>
      </w:pPr>
      <w:r>
        <w:rPr>
          <w:rFonts w:eastAsia="Aptos"/>
          <w:sz w:val="22"/>
          <w:szCs w:val="22"/>
          <w:lang w:val="es-ES"/>
        </w:rPr>
        <w:t xml:space="preserve">HOULIHAN, </w:t>
      </w:r>
      <w:proofErr w:type="spellStart"/>
      <w:r>
        <w:rPr>
          <w:rFonts w:eastAsia="Aptos"/>
          <w:sz w:val="22"/>
          <w:szCs w:val="22"/>
          <w:lang w:val="es-ES"/>
        </w:rPr>
        <w:t>Barrie</w:t>
      </w:r>
      <w:proofErr w:type="spellEnd"/>
      <w:r>
        <w:rPr>
          <w:rFonts w:eastAsia="Aptos"/>
          <w:sz w:val="22"/>
          <w:szCs w:val="22"/>
          <w:lang w:val="es-ES"/>
        </w:rPr>
        <w:t xml:space="preserve">. </w:t>
      </w:r>
      <w:proofErr w:type="spellStart"/>
      <w:r>
        <w:rPr>
          <w:rFonts w:eastAsia="Aptos"/>
          <w:b/>
          <w:bCs/>
          <w:sz w:val="22"/>
          <w:szCs w:val="22"/>
          <w:lang w:val="es-ES"/>
        </w:rPr>
        <w:t>Public</w:t>
      </w:r>
      <w:proofErr w:type="spellEnd"/>
      <w:r>
        <w:rPr>
          <w:rFonts w:eastAsia="Aptos"/>
          <w:b/>
          <w:bCs/>
          <w:sz w:val="22"/>
          <w:szCs w:val="22"/>
          <w:lang w:val="es-ES"/>
        </w:rPr>
        <w:t xml:space="preserve"> sector sport </w:t>
      </w:r>
      <w:proofErr w:type="spellStart"/>
      <w:r>
        <w:rPr>
          <w:rFonts w:eastAsia="Aptos"/>
          <w:b/>
          <w:bCs/>
          <w:sz w:val="22"/>
          <w:szCs w:val="22"/>
          <w:lang w:val="es-ES"/>
        </w:rPr>
        <w:t>policy</w:t>
      </w:r>
      <w:proofErr w:type="spellEnd"/>
      <w:r>
        <w:rPr>
          <w:rFonts w:eastAsia="Aptos"/>
          <w:b/>
          <w:bCs/>
          <w:sz w:val="22"/>
          <w:szCs w:val="22"/>
          <w:lang w:val="es-ES"/>
        </w:rPr>
        <w:t xml:space="preserve">: </w:t>
      </w:r>
      <w:proofErr w:type="spellStart"/>
      <w:r>
        <w:rPr>
          <w:rFonts w:eastAsia="Aptos"/>
          <w:b/>
          <w:bCs/>
          <w:sz w:val="22"/>
          <w:szCs w:val="22"/>
          <w:lang w:val="es-ES"/>
        </w:rPr>
        <w:t>developing</w:t>
      </w:r>
      <w:proofErr w:type="spellEnd"/>
      <w:r>
        <w:rPr>
          <w:rFonts w:eastAsia="Aptos"/>
          <w:b/>
          <w:bCs/>
          <w:sz w:val="22"/>
          <w:szCs w:val="22"/>
          <w:lang w:val="es-ES"/>
        </w:rPr>
        <w:t xml:space="preserve"> a </w:t>
      </w:r>
      <w:proofErr w:type="spellStart"/>
      <w:r>
        <w:rPr>
          <w:rFonts w:eastAsia="Aptos"/>
          <w:b/>
          <w:bCs/>
          <w:sz w:val="22"/>
          <w:szCs w:val="22"/>
          <w:lang w:val="es-ES"/>
        </w:rPr>
        <w:t>framework</w:t>
      </w:r>
      <w:proofErr w:type="spellEnd"/>
      <w:r>
        <w:rPr>
          <w:rFonts w:eastAsia="Aptos"/>
          <w:b/>
          <w:bCs/>
          <w:sz w:val="22"/>
          <w:szCs w:val="22"/>
          <w:lang w:val="es-ES"/>
        </w:rPr>
        <w:t xml:space="preserve"> </w:t>
      </w:r>
      <w:proofErr w:type="spellStart"/>
      <w:r>
        <w:rPr>
          <w:rFonts w:eastAsia="Aptos"/>
          <w:b/>
          <w:bCs/>
          <w:sz w:val="22"/>
          <w:szCs w:val="22"/>
          <w:lang w:val="es-ES"/>
        </w:rPr>
        <w:t>for</w:t>
      </w:r>
      <w:proofErr w:type="spellEnd"/>
      <w:r>
        <w:rPr>
          <w:rFonts w:eastAsia="Aptos"/>
          <w:b/>
          <w:bCs/>
          <w:sz w:val="22"/>
          <w:szCs w:val="22"/>
          <w:lang w:val="es-ES"/>
        </w:rPr>
        <w:t xml:space="preserve"> </w:t>
      </w:r>
      <w:proofErr w:type="spellStart"/>
      <w:r>
        <w:rPr>
          <w:rFonts w:eastAsia="Aptos"/>
          <w:b/>
          <w:bCs/>
          <w:sz w:val="22"/>
          <w:szCs w:val="22"/>
          <w:lang w:val="es-ES"/>
        </w:rPr>
        <w:t>analysis</w:t>
      </w:r>
      <w:proofErr w:type="spellEnd"/>
      <w:r>
        <w:rPr>
          <w:rFonts w:eastAsia="Aptos"/>
          <w:b/>
          <w:bCs/>
          <w:sz w:val="22"/>
          <w:szCs w:val="22"/>
          <w:lang w:val="es-ES"/>
        </w:rPr>
        <w:t xml:space="preserve">. International </w:t>
      </w:r>
      <w:proofErr w:type="spellStart"/>
      <w:r>
        <w:rPr>
          <w:rFonts w:eastAsia="Aptos"/>
          <w:b/>
          <w:bCs/>
          <w:sz w:val="22"/>
          <w:szCs w:val="22"/>
          <w:lang w:val="es-ES"/>
        </w:rPr>
        <w:t>Review</w:t>
      </w:r>
      <w:proofErr w:type="spellEnd"/>
      <w:r>
        <w:rPr>
          <w:rFonts w:eastAsia="Aptos"/>
          <w:b/>
          <w:bCs/>
          <w:sz w:val="22"/>
          <w:szCs w:val="22"/>
          <w:lang w:val="es-ES"/>
        </w:rPr>
        <w:t xml:space="preserve"> </w:t>
      </w:r>
      <w:proofErr w:type="spellStart"/>
      <w:r>
        <w:rPr>
          <w:rFonts w:eastAsia="Aptos"/>
          <w:b/>
          <w:bCs/>
          <w:sz w:val="22"/>
          <w:szCs w:val="22"/>
          <w:lang w:val="es-ES"/>
        </w:rPr>
        <w:t>for</w:t>
      </w:r>
      <w:proofErr w:type="spellEnd"/>
      <w:r>
        <w:rPr>
          <w:rFonts w:eastAsia="Aptos"/>
          <w:b/>
          <w:bCs/>
          <w:sz w:val="22"/>
          <w:szCs w:val="22"/>
          <w:lang w:val="es-ES"/>
        </w:rPr>
        <w:t xml:space="preserve"> </w:t>
      </w:r>
      <w:proofErr w:type="spellStart"/>
      <w:r>
        <w:rPr>
          <w:rFonts w:eastAsia="Aptos"/>
          <w:b/>
          <w:bCs/>
          <w:sz w:val="22"/>
          <w:szCs w:val="22"/>
          <w:lang w:val="es-ES"/>
        </w:rPr>
        <w:t>the</w:t>
      </w:r>
      <w:proofErr w:type="spellEnd"/>
      <w:r>
        <w:rPr>
          <w:rFonts w:eastAsia="Aptos"/>
          <w:b/>
          <w:bCs/>
          <w:sz w:val="22"/>
          <w:szCs w:val="22"/>
          <w:lang w:val="es-ES"/>
        </w:rPr>
        <w:t xml:space="preserve"> </w:t>
      </w:r>
      <w:proofErr w:type="spellStart"/>
      <w:r>
        <w:rPr>
          <w:rFonts w:eastAsia="Aptos"/>
          <w:b/>
          <w:bCs/>
          <w:sz w:val="22"/>
          <w:szCs w:val="22"/>
          <w:lang w:val="es-ES"/>
        </w:rPr>
        <w:t>Sociology</w:t>
      </w:r>
      <w:proofErr w:type="spellEnd"/>
      <w:r>
        <w:rPr>
          <w:rFonts w:eastAsia="Aptos"/>
          <w:b/>
          <w:bCs/>
          <w:sz w:val="22"/>
          <w:szCs w:val="22"/>
          <w:lang w:val="es-ES"/>
        </w:rPr>
        <w:t xml:space="preserve"> of Sport,</w:t>
      </w:r>
      <w:r>
        <w:rPr>
          <w:rFonts w:eastAsia="Aptos"/>
          <w:sz w:val="22"/>
          <w:szCs w:val="22"/>
          <w:lang w:val="es-ES"/>
        </w:rPr>
        <w:t xml:space="preserve"> v. 40, n. 2, p. 163-185, 2005. </w:t>
      </w:r>
    </w:p>
    <w:p w:rsidR="00E8006B" w:rsidRDefault="009B70C8">
      <w:pPr>
        <w:spacing w:before="240" w:after="240" w:line="360" w:lineRule="auto"/>
        <w:jc w:val="both"/>
        <w:rPr>
          <w:rFonts w:eastAsia="Arial"/>
          <w:sz w:val="22"/>
          <w:szCs w:val="22"/>
          <w:lang w:val="es-ES"/>
        </w:rPr>
      </w:pPr>
      <w:r>
        <w:rPr>
          <w:rFonts w:eastAsia="Arial"/>
          <w:sz w:val="22"/>
          <w:szCs w:val="22"/>
          <w:lang w:val="es-ES"/>
        </w:rPr>
        <w:t xml:space="preserve">HOULIHAN, </w:t>
      </w:r>
      <w:proofErr w:type="spellStart"/>
      <w:r>
        <w:rPr>
          <w:rFonts w:eastAsia="Arial"/>
          <w:sz w:val="22"/>
          <w:szCs w:val="22"/>
          <w:lang w:val="es-ES"/>
        </w:rPr>
        <w:t>Barrie</w:t>
      </w:r>
      <w:proofErr w:type="spellEnd"/>
      <w:r>
        <w:rPr>
          <w:rFonts w:eastAsia="Arial"/>
          <w:sz w:val="22"/>
          <w:szCs w:val="22"/>
          <w:lang w:val="es-ES"/>
        </w:rPr>
        <w:t xml:space="preserve">. </w:t>
      </w:r>
      <w:r>
        <w:rPr>
          <w:rFonts w:eastAsia="Arial"/>
          <w:b/>
          <w:bCs/>
          <w:sz w:val="22"/>
          <w:szCs w:val="22"/>
          <w:lang w:val="es-ES"/>
        </w:rPr>
        <w:t xml:space="preserve">Sport, </w:t>
      </w:r>
      <w:proofErr w:type="spellStart"/>
      <w:r>
        <w:rPr>
          <w:rFonts w:eastAsia="Arial"/>
          <w:b/>
          <w:bCs/>
          <w:sz w:val="22"/>
          <w:szCs w:val="22"/>
          <w:lang w:val="es-ES"/>
        </w:rPr>
        <w:t>Policy</w:t>
      </w:r>
      <w:proofErr w:type="spellEnd"/>
      <w:r>
        <w:rPr>
          <w:rFonts w:eastAsia="Arial"/>
          <w:b/>
          <w:bCs/>
          <w:sz w:val="22"/>
          <w:szCs w:val="22"/>
          <w:lang w:val="es-ES"/>
        </w:rPr>
        <w:t xml:space="preserve"> and </w:t>
      </w:r>
      <w:proofErr w:type="spellStart"/>
      <w:r>
        <w:rPr>
          <w:rFonts w:eastAsia="Arial"/>
          <w:b/>
          <w:bCs/>
          <w:sz w:val="22"/>
          <w:szCs w:val="22"/>
          <w:lang w:val="es-ES"/>
        </w:rPr>
        <w:t>Politics</w:t>
      </w:r>
      <w:proofErr w:type="spellEnd"/>
      <w:r>
        <w:rPr>
          <w:rFonts w:eastAsia="Arial"/>
          <w:b/>
          <w:bCs/>
          <w:sz w:val="22"/>
          <w:szCs w:val="22"/>
          <w:lang w:val="es-ES"/>
        </w:rPr>
        <w:t xml:space="preserve">: A </w:t>
      </w:r>
      <w:proofErr w:type="spellStart"/>
      <w:r>
        <w:rPr>
          <w:rFonts w:eastAsia="Arial"/>
          <w:b/>
          <w:bCs/>
          <w:sz w:val="22"/>
          <w:szCs w:val="22"/>
          <w:lang w:val="es-ES"/>
        </w:rPr>
        <w:t>Comparative</w:t>
      </w:r>
      <w:proofErr w:type="spellEnd"/>
      <w:r>
        <w:rPr>
          <w:rFonts w:eastAsia="Arial"/>
          <w:b/>
          <w:bCs/>
          <w:sz w:val="22"/>
          <w:szCs w:val="22"/>
          <w:lang w:val="es-ES"/>
        </w:rPr>
        <w:t xml:space="preserve"> </w:t>
      </w:r>
      <w:proofErr w:type="spellStart"/>
      <w:r>
        <w:rPr>
          <w:rFonts w:eastAsia="Arial"/>
          <w:b/>
          <w:bCs/>
          <w:sz w:val="22"/>
          <w:szCs w:val="22"/>
          <w:lang w:val="es-ES"/>
        </w:rPr>
        <w:t>Analysis</w:t>
      </w:r>
      <w:proofErr w:type="spellEnd"/>
      <w:r>
        <w:rPr>
          <w:rFonts w:eastAsia="Arial"/>
          <w:b/>
          <w:bCs/>
          <w:sz w:val="22"/>
          <w:szCs w:val="22"/>
          <w:lang w:val="es-ES"/>
        </w:rPr>
        <w:t>.</w:t>
      </w:r>
      <w:r>
        <w:rPr>
          <w:rFonts w:eastAsia="Arial"/>
          <w:sz w:val="22"/>
          <w:szCs w:val="22"/>
          <w:lang w:val="es-ES"/>
        </w:rPr>
        <w:t xml:space="preserve"> London: </w:t>
      </w:r>
      <w:proofErr w:type="spellStart"/>
      <w:r>
        <w:rPr>
          <w:rFonts w:eastAsia="Arial"/>
          <w:sz w:val="22"/>
          <w:szCs w:val="22"/>
          <w:lang w:val="es-ES"/>
        </w:rPr>
        <w:t>Routledge</w:t>
      </w:r>
      <w:proofErr w:type="spellEnd"/>
      <w:r>
        <w:rPr>
          <w:rFonts w:eastAsia="Arial"/>
          <w:sz w:val="22"/>
          <w:szCs w:val="22"/>
          <w:lang w:val="es-ES"/>
        </w:rPr>
        <w:t>, 1997.</w:t>
      </w:r>
    </w:p>
    <w:p w:rsidR="00E8006B" w:rsidRDefault="009B70C8">
      <w:pPr>
        <w:spacing w:before="240" w:after="240" w:line="360" w:lineRule="auto"/>
        <w:jc w:val="both"/>
        <w:rPr>
          <w:rFonts w:eastAsia="Aptos"/>
          <w:sz w:val="22"/>
          <w:szCs w:val="22"/>
          <w:lang w:val="es-ES"/>
        </w:rPr>
      </w:pPr>
      <w:r>
        <w:rPr>
          <w:rFonts w:eastAsia="Aptos"/>
          <w:sz w:val="22"/>
          <w:szCs w:val="22"/>
          <w:lang w:val="es-ES"/>
        </w:rPr>
        <w:lastRenderedPageBreak/>
        <w:t xml:space="preserve">HOULIHAN, </w:t>
      </w:r>
      <w:proofErr w:type="spellStart"/>
      <w:r>
        <w:rPr>
          <w:rFonts w:eastAsia="Aptos"/>
          <w:sz w:val="22"/>
          <w:szCs w:val="22"/>
          <w:lang w:val="es-ES"/>
        </w:rPr>
        <w:t>Barrie</w:t>
      </w:r>
      <w:proofErr w:type="spellEnd"/>
      <w:r>
        <w:rPr>
          <w:rFonts w:eastAsia="Aptos"/>
          <w:sz w:val="22"/>
          <w:szCs w:val="22"/>
          <w:lang w:val="es-ES"/>
        </w:rPr>
        <w:t xml:space="preserve">; WHITE, Anita. </w:t>
      </w:r>
      <w:proofErr w:type="spellStart"/>
      <w:r>
        <w:rPr>
          <w:rFonts w:eastAsia="Aptos"/>
          <w:b/>
          <w:bCs/>
          <w:sz w:val="22"/>
          <w:szCs w:val="22"/>
          <w:lang w:val="es-ES"/>
        </w:rPr>
        <w:t>The</w:t>
      </w:r>
      <w:proofErr w:type="spellEnd"/>
      <w:r>
        <w:rPr>
          <w:rFonts w:eastAsia="Aptos"/>
          <w:b/>
          <w:bCs/>
          <w:sz w:val="22"/>
          <w:szCs w:val="22"/>
          <w:lang w:val="es-ES"/>
        </w:rPr>
        <w:t xml:space="preserve"> </w:t>
      </w:r>
      <w:proofErr w:type="spellStart"/>
      <w:r>
        <w:rPr>
          <w:rFonts w:eastAsia="Aptos"/>
          <w:b/>
          <w:bCs/>
          <w:sz w:val="22"/>
          <w:szCs w:val="22"/>
          <w:lang w:val="es-ES"/>
        </w:rPr>
        <w:t>Politics</w:t>
      </w:r>
      <w:proofErr w:type="spellEnd"/>
      <w:r>
        <w:rPr>
          <w:rFonts w:eastAsia="Aptos"/>
          <w:b/>
          <w:bCs/>
          <w:sz w:val="22"/>
          <w:szCs w:val="22"/>
          <w:lang w:val="es-ES"/>
        </w:rPr>
        <w:t xml:space="preserve"> of Sport </w:t>
      </w:r>
      <w:proofErr w:type="spellStart"/>
      <w:r>
        <w:rPr>
          <w:rFonts w:eastAsia="Aptos"/>
          <w:b/>
          <w:bCs/>
          <w:sz w:val="22"/>
          <w:szCs w:val="22"/>
          <w:lang w:val="es-ES"/>
        </w:rPr>
        <w:t>Development</w:t>
      </w:r>
      <w:proofErr w:type="spellEnd"/>
      <w:r>
        <w:rPr>
          <w:rFonts w:eastAsia="Aptos"/>
          <w:b/>
          <w:bCs/>
          <w:sz w:val="22"/>
          <w:szCs w:val="22"/>
          <w:lang w:val="es-ES"/>
        </w:rPr>
        <w:t xml:space="preserve">: </w:t>
      </w:r>
      <w:proofErr w:type="spellStart"/>
      <w:r>
        <w:rPr>
          <w:rFonts w:eastAsia="Aptos"/>
          <w:b/>
          <w:bCs/>
          <w:sz w:val="22"/>
          <w:szCs w:val="22"/>
          <w:lang w:val="es-ES"/>
        </w:rPr>
        <w:t>Development</w:t>
      </w:r>
      <w:proofErr w:type="spellEnd"/>
      <w:r>
        <w:rPr>
          <w:rFonts w:eastAsia="Aptos"/>
          <w:b/>
          <w:bCs/>
          <w:sz w:val="22"/>
          <w:szCs w:val="22"/>
          <w:lang w:val="es-ES"/>
        </w:rPr>
        <w:t xml:space="preserve"> of Sport </w:t>
      </w:r>
      <w:proofErr w:type="spellStart"/>
      <w:r>
        <w:rPr>
          <w:rFonts w:eastAsia="Aptos"/>
          <w:b/>
          <w:bCs/>
          <w:sz w:val="22"/>
          <w:szCs w:val="22"/>
          <w:lang w:val="es-ES"/>
        </w:rPr>
        <w:t>or</w:t>
      </w:r>
      <w:proofErr w:type="spellEnd"/>
      <w:r>
        <w:rPr>
          <w:rFonts w:eastAsia="Aptos"/>
          <w:b/>
          <w:bCs/>
          <w:sz w:val="22"/>
          <w:szCs w:val="22"/>
          <w:lang w:val="es-ES"/>
        </w:rPr>
        <w:t xml:space="preserve"> </w:t>
      </w:r>
      <w:proofErr w:type="spellStart"/>
      <w:r>
        <w:rPr>
          <w:rFonts w:eastAsia="Aptos"/>
          <w:b/>
          <w:bCs/>
          <w:sz w:val="22"/>
          <w:szCs w:val="22"/>
          <w:lang w:val="es-ES"/>
        </w:rPr>
        <w:t>Development</w:t>
      </w:r>
      <w:proofErr w:type="spellEnd"/>
      <w:r>
        <w:rPr>
          <w:rFonts w:eastAsia="Aptos"/>
          <w:b/>
          <w:bCs/>
          <w:sz w:val="22"/>
          <w:szCs w:val="22"/>
          <w:lang w:val="es-ES"/>
        </w:rPr>
        <w:t xml:space="preserve"> </w:t>
      </w:r>
      <w:proofErr w:type="spellStart"/>
      <w:r>
        <w:rPr>
          <w:rFonts w:eastAsia="Aptos"/>
          <w:b/>
          <w:bCs/>
          <w:sz w:val="22"/>
          <w:szCs w:val="22"/>
          <w:lang w:val="es-ES"/>
        </w:rPr>
        <w:t>through</w:t>
      </w:r>
      <w:proofErr w:type="spellEnd"/>
      <w:r>
        <w:rPr>
          <w:rFonts w:eastAsia="Aptos"/>
          <w:b/>
          <w:bCs/>
          <w:sz w:val="22"/>
          <w:szCs w:val="22"/>
          <w:lang w:val="es-ES"/>
        </w:rPr>
        <w:t xml:space="preserve"> Sport</w:t>
      </w:r>
      <w:proofErr w:type="gramStart"/>
      <w:r>
        <w:rPr>
          <w:rFonts w:eastAsia="Aptos"/>
          <w:b/>
          <w:bCs/>
          <w:sz w:val="22"/>
          <w:szCs w:val="22"/>
          <w:lang w:val="es-ES"/>
        </w:rPr>
        <w:t>?</w:t>
      </w:r>
      <w:proofErr w:type="gramEnd"/>
      <w:r>
        <w:rPr>
          <w:rFonts w:eastAsia="Aptos"/>
          <w:sz w:val="22"/>
          <w:szCs w:val="22"/>
          <w:lang w:val="es-ES"/>
        </w:rPr>
        <w:t xml:space="preserve"> London: </w:t>
      </w:r>
      <w:proofErr w:type="spellStart"/>
      <w:r>
        <w:rPr>
          <w:rFonts w:eastAsia="Aptos"/>
          <w:sz w:val="22"/>
          <w:szCs w:val="22"/>
          <w:lang w:val="es-ES"/>
        </w:rPr>
        <w:t>Routledge</w:t>
      </w:r>
      <w:proofErr w:type="spellEnd"/>
      <w:r>
        <w:rPr>
          <w:rFonts w:eastAsia="Aptos"/>
          <w:sz w:val="22"/>
          <w:szCs w:val="22"/>
          <w:lang w:val="es-ES"/>
        </w:rPr>
        <w:t>, 2002.</w:t>
      </w:r>
    </w:p>
    <w:p w:rsidR="00E8006B" w:rsidRDefault="009B70C8">
      <w:pPr>
        <w:spacing w:before="240" w:after="240" w:line="360" w:lineRule="auto"/>
        <w:jc w:val="both"/>
        <w:rPr>
          <w:sz w:val="22"/>
          <w:szCs w:val="22"/>
        </w:rPr>
      </w:pPr>
      <w:r>
        <w:rPr>
          <w:sz w:val="22"/>
          <w:szCs w:val="22"/>
          <w:lang w:val="es-ES"/>
        </w:rPr>
        <w:t xml:space="preserve">KEMPER, </w:t>
      </w:r>
      <w:proofErr w:type="spellStart"/>
      <w:r>
        <w:rPr>
          <w:sz w:val="22"/>
          <w:szCs w:val="22"/>
          <w:lang w:val="es-ES"/>
        </w:rPr>
        <w:t>Kurt</w:t>
      </w:r>
      <w:proofErr w:type="spellEnd"/>
      <w:r>
        <w:rPr>
          <w:sz w:val="22"/>
          <w:szCs w:val="22"/>
          <w:lang w:val="es-ES"/>
        </w:rPr>
        <w:t xml:space="preserve"> Edward.</w:t>
      </w:r>
      <w:r>
        <w:rPr>
          <w:b/>
          <w:bCs/>
          <w:sz w:val="22"/>
          <w:szCs w:val="22"/>
          <w:lang w:val="es-ES"/>
        </w:rPr>
        <w:t xml:space="preserve"> </w:t>
      </w:r>
      <w:proofErr w:type="spellStart"/>
      <w:r>
        <w:rPr>
          <w:b/>
          <w:bCs/>
          <w:sz w:val="22"/>
          <w:szCs w:val="22"/>
          <w:lang w:val="es-ES"/>
        </w:rPr>
        <w:t>Reconciling</w:t>
      </w:r>
      <w:proofErr w:type="spellEnd"/>
      <w:r>
        <w:rPr>
          <w:b/>
          <w:bCs/>
          <w:sz w:val="22"/>
          <w:szCs w:val="22"/>
          <w:lang w:val="es-ES"/>
        </w:rPr>
        <w:t xml:space="preserve"> </w:t>
      </w:r>
      <w:proofErr w:type="spellStart"/>
      <w:r>
        <w:rPr>
          <w:b/>
          <w:bCs/>
          <w:sz w:val="22"/>
          <w:szCs w:val="22"/>
          <w:lang w:val="es-ES"/>
        </w:rPr>
        <w:t>the</w:t>
      </w:r>
      <w:proofErr w:type="spellEnd"/>
      <w:r>
        <w:rPr>
          <w:b/>
          <w:bCs/>
          <w:sz w:val="22"/>
          <w:szCs w:val="22"/>
          <w:lang w:val="es-ES"/>
        </w:rPr>
        <w:t xml:space="preserve"> </w:t>
      </w:r>
      <w:proofErr w:type="spellStart"/>
      <w:r>
        <w:rPr>
          <w:b/>
          <w:bCs/>
          <w:sz w:val="22"/>
          <w:szCs w:val="22"/>
          <w:lang w:val="es-ES"/>
        </w:rPr>
        <w:t>Consequences</w:t>
      </w:r>
      <w:proofErr w:type="spellEnd"/>
      <w:r>
        <w:rPr>
          <w:b/>
          <w:bCs/>
          <w:sz w:val="22"/>
          <w:szCs w:val="22"/>
          <w:lang w:val="es-ES"/>
        </w:rPr>
        <w:t xml:space="preserve"> of </w:t>
      </w:r>
      <w:proofErr w:type="spellStart"/>
      <w:r>
        <w:rPr>
          <w:b/>
          <w:bCs/>
          <w:sz w:val="22"/>
          <w:szCs w:val="22"/>
          <w:lang w:val="es-ES"/>
        </w:rPr>
        <w:t>Modernity</w:t>
      </w:r>
      <w:proofErr w:type="spellEnd"/>
      <w:r>
        <w:rPr>
          <w:b/>
          <w:bCs/>
          <w:sz w:val="22"/>
          <w:szCs w:val="22"/>
          <w:lang w:val="es-ES"/>
        </w:rPr>
        <w:t xml:space="preserve">: </w:t>
      </w:r>
      <w:proofErr w:type="spellStart"/>
      <w:r>
        <w:rPr>
          <w:b/>
          <w:bCs/>
          <w:sz w:val="22"/>
          <w:szCs w:val="22"/>
          <w:lang w:val="es-ES"/>
        </w:rPr>
        <w:t>College</w:t>
      </w:r>
      <w:proofErr w:type="spellEnd"/>
      <w:r>
        <w:rPr>
          <w:b/>
          <w:bCs/>
          <w:sz w:val="22"/>
          <w:szCs w:val="22"/>
          <w:lang w:val="es-ES"/>
        </w:rPr>
        <w:t xml:space="preserve"> </w:t>
      </w:r>
      <w:proofErr w:type="spellStart"/>
      <w:r>
        <w:rPr>
          <w:b/>
          <w:bCs/>
          <w:sz w:val="22"/>
          <w:szCs w:val="22"/>
          <w:lang w:val="es-ES"/>
        </w:rPr>
        <w:t>Football</w:t>
      </w:r>
      <w:proofErr w:type="spellEnd"/>
      <w:r>
        <w:rPr>
          <w:b/>
          <w:bCs/>
          <w:sz w:val="22"/>
          <w:szCs w:val="22"/>
          <w:lang w:val="es-ES"/>
        </w:rPr>
        <w:t xml:space="preserve"> as Cultural </w:t>
      </w:r>
      <w:proofErr w:type="spellStart"/>
      <w:r>
        <w:rPr>
          <w:b/>
          <w:bCs/>
          <w:sz w:val="22"/>
          <w:szCs w:val="22"/>
          <w:lang w:val="es-ES"/>
        </w:rPr>
        <w:t>History</w:t>
      </w:r>
      <w:proofErr w:type="spellEnd"/>
      <w:r>
        <w:rPr>
          <w:b/>
          <w:bCs/>
          <w:sz w:val="22"/>
          <w:szCs w:val="22"/>
          <w:lang w:val="es-ES"/>
        </w:rPr>
        <w:t>.</w:t>
      </w:r>
      <w:r>
        <w:rPr>
          <w:sz w:val="22"/>
          <w:szCs w:val="22"/>
          <w:lang w:val="es-ES"/>
        </w:rPr>
        <w:t xml:space="preserve"> In: RIESS, Steven A. A </w:t>
      </w:r>
      <w:proofErr w:type="spellStart"/>
      <w:r>
        <w:rPr>
          <w:sz w:val="22"/>
          <w:szCs w:val="22"/>
          <w:lang w:val="es-ES"/>
        </w:rPr>
        <w:t>Companion</w:t>
      </w:r>
      <w:proofErr w:type="spellEnd"/>
      <w:r>
        <w:rPr>
          <w:sz w:val="22"/>
          <w:szCs w:val="22"/>
          <w:lang w:val="es-ES"/>
        </w:rPr>
        <w:t xml:space="preserve"> to American Sport </w:t>
      </w:r>
      <w:proofErr w:type="spellStart"/>
      <w:r>
        <w:rPr>
          <w:sz w:val="22"/>
          <w:szCs w:val="22"/>
          <w:lang w:val="es-ES"/>
        </w:rPr>
        <w:t>History</w:t>
      </w:r>
      <w:proofErr w:type="spellEnd"/>
      <w:r>
        <w:rPr>
          <w:sz w:val="22"/>
          <w:szCs w:val="22"/>
          <w:lang w:val="es-ES"/>
        </w:rPr>
        <w:t xml:space="preserve">. </w:t>
      </w:r>
      <w:proofErr w:type="spellStart"/>
      <w:r>
        <w:rPr>
          <w:sz w:val="22"/>
          <w:szCs w:val="22"/>
        </w:rPr>
        <w:t>Malden</w:t>
      </w:r>
      <w:proofErr w:type="spellEnd"/>
      <w:r>
        <w:rPr>
          <w:sz w:val="22"/>
          <w:szCs w:val="22"/>
        </w:rPr>
        <w:t xml:space="preserve">: </w:t>
      </w:r>
      <w:proofErr w:type="spellStart"/>
      <w:r>
        <w:rPr>
          <w:sz w:val="22"/>
          <w:szCs w:val="22"/>
        </w:rPr>
        <w:t>Wiley</w:t>
      </w:r>
      <w:proofErr w:type="spellEnd"/>
      <w:r>
        <w:rPr>
          <w:sz w:val="22"/>
          <w:szCs w:val="22"/>
        </w:rPr>
        <w:t xml:space="preserve"> </w:t>
      </w:r>
      <w:proofErr w:type="spellStart"/>
      <w:r>
        <w:rPr>
          <w:sz w:val="22"/>
          <w:szCs w:val="22"/>
        </w:rPr>
        <w:t>Blackwell</w:t>
      </w:r>
      <w:proofErr w:type="spellEnd"/>
      <w:r>
        <w:rPr>
          <w:sz w:val="22"/>
          <w:szCs w:val="22"/>
        </w:rPr>
        <w:t xml:space="preserve">, 2014, p. 202-220. </w:t>
      </w:r>
    </w:p>
    <w:p w:rsidR="00E8006B" w:rsidRDefault="009B70C8">
      <w:pPr>
        <w:spacing w:before="240" w:after="240" w:line="360" w:lineRule="auto"/>
        <w:jc w:val="both"/>
        <w:rPr>
          <w:sz w:val="22"/>
          <w:szCs w:val="22"/>
        </w:rPr>
      </w:pPr>
      <w:r>
        <w:rPr>
          <w:rFonts w:eastAsia="Aptos"/>
          <w:sz w:val="22"/>
          <w:szCs w:val="22"/>
        </w:rPr>
        <w:t xml:space="preserve">MALAGUTTI, João Paulo </w:t>
      </w:r>
      <w:proofErr w:type="spellStart"/>
      <w:r>
        <w:rPr>
          <w:rFonts w:eastAsia="Aptos"/>
          <w:sz w:val="22"/>
          <w:szCs w:val="22"/>
        </w:rPr>
        <w:t>Melleiro</w:t>
      </w:r>
      <w:proofErr w:type="spellEnd"/>
      <w:r>
        <w:rPr>
          <w:rFonts w:eastAsia="Aptos"/>
          <w:sz w:val="22"/>
          <w:szCs w:val="22"/>
        </w:rPr>
        <w:t xml:space="preserve">; ROJO, Jeferson Roberto; STAREPRAVO, Fernando Augusto. </w:t>
      </w:r>
      <w:r>
        <w:rPr>
          <w:rFonts w:eastAsia="Aptos"/>
          <w:b/>
          <w:bCs/>
          <w:sz w:val="22"/>
          <w:szCs w:val="22"/>
        </w:rPr>
        <w:t>O esporte universitário brasileiro: organizações oficiais e as associações atléticas acadêmicas</w:t>
      </w:r>
      <w:r>
        <w:rPr>
          <w:rFonts w:eastAsia="Aptos"/>
          <w:sz w:val="22"/>
          <w:szCs w:val="22"/>
        </w:rPr>
        <w:t xml:space="preserve">. </w:t>
      </w:r>
      <w:proofErr w:type="spellStart"/>
      <w:r>
        <w:rPr>
          <w:rFonts w:eastAsia="Aptos"/>
          <w:sz w:val="22"/>
          <w:szCs w:val="22"/>
        </w:rPr>
        <w:t>Research</w:t>
      </w:r>
      <w:proofErr w:type="spellEnd"/>
      <w:r>
        <w:rPr>
          <w:rFonts w:eastAsia="Aptos"/>
          <w:sz w:val="22"/>
          <w:szCs w:val="22"/>
        </w:rPr>
        <w:t xml:space="preserve">, </w:t>
      </w:r>
      <w:proofErr w:type="spellStart"/>
      <w:r>
        <w:rPr>
          <w:rFonts w:eastAsia="Aptos"/>
          <w:sz w:val="22"/>
          <w:szCs w:val="22"/>
        </w:rPr>
        <w:t>Society</w:t>
      </w:r>
      <w:proofErr w:type="spellEnd"/>
      <w:r>
        <w:rPr>
          <w:rFonts w:eastAsia="Aptos"/>
          <w:sz w:val="22"/>
          <w:szCs w:val="22"/>
        </w:rPr>
        <w:t xml:space="preserve"> </w:t>
      </w:r>
      <w:proofErr w:type="spellStart"/>
      <w:r>
        <w:rPr>
          <w:rFonts w:eastAsia="Aptos"/>
          <w:sz w:val="22"/>
          <w:szCs w:val="22"/>
        </w:rPr>
        <w:t>and</w:t>
      </w:r>
      <w:proofErr w:type="spellEnd"/>
      <w:r>
        <w:rPr>
          <w:rFonts w:eastAsia="Aptos"/>
          <w:sz w:val="22"/>
          <w:szCs w:val="22"/>
        </w:rPr>
        <w:t xml:space="preserve"> </w:t>
      </w:r>
      <w:proofErr w:type="spellStart"/>
      <w:r>
        <w:rPr>
          <w:rFonts w:eastAsia="Aptos"/>
          <w:sz w:val="22"/>
          <w:szCs w:val="22"/>
        </w:rPr>
        <w:t>Development</w:t>
      </w:r>
      <w:proofErr w:type="spellEnd"/>
      <w:r>
        <w:rPr>
          <w:rFonts w:eastAsia="Aptos"/>
          <w:sz w:val="22"/>
          <w:szCs w:val="22"/>
        </w:rPr>
        <w:t>, v. 9, n. 7, e3977429, 2020.</w:t>
      </w:r>
    </w:p>
    <w:p w:rsidR="00E8006B" w:rsidRDefault="009B70C8">
      <w:pPr>
        <w:spacing w:before="240" w:after="240" w:line="360" w:lineRule="auto"/>
        <w:jc w:val="both"/>
        <w:rPr>
          <w:rFonts w:eastAsia="Arial"/>
          <w:sz w:val="22"/>
          <w:szCs w:val="22"/>
        </w:rPr>
      </w:pPr>
      <w:r>
        <w:rPr>
          <w:rFonts w:eastAsia="Arial"/>
          <w:sz w:val="22"/>
          <w:szCs w:val="22"/>
        </w:rPr>
        <w:t xml:space="preserve">MANGAN, James Anthony. </w:t>
      </w:r>
      <w:proofErr w:type="spellStart"/>
      <w:r>
        <w:rPr>
          <w:rFonts w:eastAsia="Arial"/>
          <w:b/>
          <w:bCs/>
          <w:sz w:val="22"/>
          <w:szCs w:val="22"/>
        </w:rPr>
        <w:t>Athleticism</w:t>
      </w:r>
      <w:proofErr w:type="spellEnd"/>
      <w:r>
        <w:rPr>
          <w:rFonts w:eastAsia="Arial"/>
          <w:b/>
          <w:bCs/>
          <w:sz w:val="22"/>
          <w:szCs w:val="22"/>
        </w:rPr>
        <w:t xml:space="preserve"> in </w:t>
      </w:r>
      <w:proofErr w:type="spellStart"/>
      <w:r>
        <w:rPr>
          <w:rFonts w:eastAsia="Arial"/>
          <w:b/>
          <w:bCs/>
          <w:sz w:val="22"/>
          <w:szCs w:val="22"/>
        </w:rPr>
        <w:t>the</w:t>
      </w:r>
      <w:proofErr w:type="spellEnd"/>
      <w:r>
        <w:rPr>
          <w:rFonts w:eastAsia="Arial"/>
          <w:b/>
          <w:bCs/>
          <w:sz w:val="22"/>
          <w:szCs w:val="22"/>
        </w:rPr>
        <w:t xml:space="preserve"> </w:t>
      </w:r>
      <w:proofErr w:type="spellStart"/>
      <w:r>
        <w:rPr>
          <w:rFonts w:eastAsia="Arial"/>
          <w:b/>
          <w:bCs/>
          <w:sz w:val="22"/>
          <w:szCs w:val="22"/>
        </w:rPr>
        <w:t>Victorian</w:t>
      </w:r>
      <w:proofErr w:type="spellEnd"/>
      <w:r>
        <w:rPr>
          <w:rFonts w:eastAsia="Arial"/>
          <w:b/>
          <w:bCs/>
          <w:sz w:val="22"/>
          <w:szCs w:val="22"/>
        </w:rPr>
        <w:t xml:space="preserve"> </w:t>
      </w:r>
      <w:proofErr w:type="spellStart"/>
      <w:r>
        <w:rPr>
          <w:rFonts w:eastAsia="Arial"/>
          <w:b/>
          <w:bCs/>
          <w:sz w:val="22"/>
          <w:szCs w:val="22"/>
        </w:rPr>
        <w:t>and</w:t>
      </w:r>
      <w:proofErr w:type="spellEnd"/>
      <w:r>
        <w:rPr>
          <w:rFonts w:eastAsia="Arial"/>
          <w:b/>
          <w:bCs/>
          <w:sz w:val="22"/>
          <w:szCs w:val="22"/>
        </w:rPr>
        <w:t xml:space="preserve"> </w:t>
      </w:r>
      <w:proofErr w:type="spellStart"/>
      <w:r>
        <w:rPr>
          <w:rFonts w:eastAsia="Arial"/>
          <w:b/>
          <w:bCs/>
          <w:sz w:val="22"/>
          <w:szCs w:val="22"/>
        </w:rPr>
        <w:t>Edwardian</w:t>
      </w:r>
      <w:proofErr w:type="spellEnd"/>
      <w:r>
        <w:rPr>
          <w:rFonts w:eastAsia="Arial"/>
          <w:b/>
          <w:bCs/>
          <w:sz w:val="22"/>
          <w:szCs w:val="22"/>
        </w:rPr>
        <w:t xml:space="preserve"> </w:t>
      </w:r>
      <w:proofErr w:type="spellStart"/>
      <w:r>
        <w:rPr>
          <w:rFonts w:eastAsia="Arial"/>
          <w:b/>
          <w:bCs/>
          <w:sz w:val="22"/>
          <w:szCs w:val="22"/>
        </w:rPr>
        <w:t>Public</w:t>
      </w:r>
      <w:proofErr w:type="spellEnd"/>
      <w:r>
        <w:rPr>
          <w:rFonts w:eastAsia="Arial"/>
          <w:b/>
          <w:bCs/>
          <w:sz w:val="22"/>
          <w:szCs w:val="22"/>
        </w:rPr>
        <w:t xml:space="preserve"> </w:t>
      </w:r>
      <w:proofErr w:type="spellStart"/>
      <w:r>
        <w:rPr>
          <w:rFonts w:eastAsia="Arial"/>
          <w:b/>
          <w:bCs/>
          <w:sz w:val="22"/>
          <w:szCs w:val="22"/>
        </w:rPr>
        <w:t>School</w:t>
      </w:r>
      <w:proofErr w:type="spellEnd"/>
      <w:r>
        <w:rPr>
          <w:rFonts w:eastAsia="Arial"/>
          <w:b/>
          <w:bCs/>
          <w:sz w:val="22"/>
          <w:szCs w:val="22"/>
        </w:rPr>
        <w:t xml:space="preserve">: The </w:t>
      </w:r>
      <w:proofErr w:type="spellStart"/>
      <w:r>
        <w:rPr>
          <w:rFonts w:eastAsia="Arial"/>
          <w:b/>
          <w:bCs/>
          <w:sz w:val="22"/>
          <w:szCs w:val="22"/>
        </w:rPr>
        <w:t>Emergence</w:t>
      </w:r>
      <w:proofErr w:type="spellEnd"/>
      <w:r>
        <w:rPr>
          <w:rFonts w:eastAsia="Arial"/>
          <w:b/>
          <w:bCs/>
          <w:sz w:val="22"/>
          <w:szCs w:val="22"/>
        </w:rPr>
        <w:t xml:space="preserve"> </w:t>
      </w:r>
      <w:proofErr w:type="spellStart"/>
      <w:r>
        <w:rPr>
          <w:rFonts w:eastAsia="Arial"/>
          <w:b/>
          <w:bCs/>
          <w:sz w:val="22"/>
          <w:szCs w:val="22"/>
        </w:rPr>
        <w:t>and</w:t>
      </w:r>
      <w:proofErr w:type="spellEnd"/>
      <w:r>
        <w:rPr>
          <w:rFonts w:eastAsia="Arial"/>
          <w:b/>
          <w:bCs/>
          <w:sz w:val="22"/>
          <w:szCs w:val="22"/>
        </w:rPr>
        <w:t xml:space="preserve"> </w:t>
      </w:r>
      <w:proofErr w:type="spellStart"/>
      <w:r>
        <w:rPr>
          <w:rFonts w:eastAsia="Arial"/>
          <w:b/>
          <w:bCs/>
          <w:sz w:val="22"/>
          <w:szCs w:val="22"/>
        </w:rPr>
        <w:t>Consolidation</w:t>
      </w:r>
      <w:proofErr w:type="spellEnd"/>
      <w:r>
        <w:rPr>
          <w:rFonts w:eastAsia="Arial"/>
          <w:b/>
          <w:bCs/>
          <w:sz w:val="22"/>
          <w:szCs w:val="22"/>
        </w:rPr>
        <w:t xml:space="preserve"> </w:t>
      </w:r>
      <w:proofErr w:type="spellStart"/>
      <w:r>
        <w:rPr>
          <w:rFonts w:eastAsia="Arial"/>
          <w:b/>
          <w:bCs/>
          <w:sz w:val="22"/>
          <w:szCs w:val="22"/>
        </w:rPr>
        <w:t>of</w:t>
      </w:r>
      <w:proofErr w:type="spellEnd"/>
      <w:r>
        <w:rPr>
          <w:rFonts w:eastAsia="Arial"/>
          <w:b/>
          <w:bCs/>
          <w:sz w:val="22"/>
          <w:szCs w:val="22"/>
        </w:rPr>
        <w:t xml:space="preserve"> </w:t>
      </w:r>
      <w:proofErr w:type="spellStart"/>
      <w:r>
        <w:rPr>
          <w:rFonts w:eastAsia="Arial"/>
          <w:b/>
          <w:bCs/>
          <w:sz w:val="22"/>
          <w:szCs w:val="22"/>
        </w:rPr>
        <w:t>an</w:t>
      </w:r>
      <w:proofErr w:type="spellEnd"/>
      <w:r>
        <w:rPr>
          <w:rFonts w:eastAsia="Arial"/>
          <w:b/>
          <w:bCs/>
          <w:sz w:val="22"/>
          <w:szCs w:val="22"/>
        </w:rPr>
        <w:t xml:space="preserve"> </w:t>
      </w:r>
      <w:proofErr w:type="spellStart"/>
      <w:r>
        <w:rPr>
          <w:rFonts w:eastAsia="Arial"/>
          <w:b/>
          <w:bCs/>
          <w:sz w:val="22"/>
          <w:szCs w:val="22"/>
        </w:rPr>
        <w:t>Educational</w:t>
      </w:r>
      <w:proofErr w:type="spellEnd"/>
      <w:r>
        <w:rPr>
          <w:rFonts w:eastAsia="Arial"/>
          <w:b/>
          <w:bCs/>
          <w:sz w:val="22"/>
          <w:szCs w:val="22"/>
        </w:rPr>
        <w:t xml:space="preserve"> </w:t>
      </w:r>
      <w:proofErr w:type="spellStart"/>
      <w:r>
        <w:rPr>
          <w:rFonts w:eastAsia="Arial"/>
          <w:b/>
          <w:bCs/>
          <w:sz w:val="22"/>
          <w:szCs w:val="22"/>
        </w:rPr>
        <w:t>Ideology</w:t>
      </w:r>
      <w:proofErr w:type="spellEnd"/>
      <w:r>
        <w:rPr>
          <w:rFonts w:eastAsia="Arial"/>
          <w:b/>
          <w:bCs/>
          <w:sz w:val="22"/>
          <w:szCs w:val="22"/>
        </w:rPr>
        <w:t>.</w:t>
      </w:r>
      <w:r>
        <w:rPr>
          <w:rFonts w:eastAsia="Arial"/>
          <w:sz w:val="22"/>
          <w:szCs w:val="22"/>
        </w:rPr>
        <w:t xml:space="preserve"> 2. ed. London: Frank </w:t>
      </w:r>
      <w:proofErr w:type="spellStart"/>
      <w:r>
        <w:rPr>
          <w:rFonts w:eastAsia="Arial"/>
          <w:sz w:val="22"/>
          <w:szCs w:val="22"/>
        </w:rPr>
        <w:t>Cass</w:t>
      </w:r>
      <w:proofErr w:type="spellEnd"/>
      <w:r>
        <w:rPr>
          <w:rFonts w:eastAsia="Arial"/>
          <w:sz w:val="22"/>
          <w:szCs w:val="22"/>
        </w:rPr>
        <w:t>, 2000.</w:t>
      </w:r>
    </w:p>
    <w:p w:rsidR="00E8006B" w:rsidRDefault="009B70C8">
      <w:pPr>
        <w:spacing w:before="240" w:after="240" w:line="360" w:lineRule="auto"/>
        <w:jc w:val="both"/>
        <w:rPr>
          <w:sz w:val="22"/>
          <w:szCs w:val="22"/>
        </w:rPr>
      </w:pPr>
      <w:r>
        <w:rPr>
          <w:sz w:val="22"/>
          <w:szCs w:val="22"/>
        </w:rPr>
        <w:t xml:space="preserve">MARQUES, Luís Maurício; et al. </w:t>
      </w:r>
      <w:r>
        <w:rPr>
          <w:b/>
          <w:bCs/>
          <w:sz w:val="22"/>
          <w:szCs w:val="22"/>
        </w:rPr>
        <w:t>Financiamento do esporte no Brasil: análise acerca das mudanças recentes na configuração dos repasses de recursos das loterias federais.</w:t>
      </w:r>
      <w:r>
        <w:rPr>
          <w:sz w:val="22"/>
          <w:szCs w:val="22"/>
        </w:rPr>
        <w:t xml:space="preserve"> Revista Brasileira de Ciências do Esporte, v. 43, e005621, 2021. </w:t>
      </w:r>
    </w:p>
    <w:p w:rsidR="00E8006B" w:rsidRDefault="009B70C8">
      <w:pPr>
        <w:spacing w:line="360" w:lineRule="auto"/>
        <w:jc w:val="both"/>
        <w:rPr>
          <w:sz w:val="22"/>
          <w:szCs w:val="22"/>
        </w:rPr>
      </w:pPr>
      <w:r>
        <w:rPr>
          <w:sz w:val="22"/>
          <w:szCs w:val="22"/>
        </w:rPr>
        <w:t xml:space="preserve">MARTINELI, Isabella Machado de </w:t>
      </w:r>
      <w:proofErr w:type="spellStart"/>
      <w:r>
        <w:rPr>
          <w:sz w:val="22"/>
          <w:szCs w:val="22"/>
        </w:rPr>
        <w:t>Goes</w:t>
      </w:r>
      <w:proofErr w:type="spellEnd"/>
      <w:r>
        <w:rPr>
          <w:sz w:val="22"/>
          <w:szCs w:val="22"/>
        </w:rPr>
        <w:t xml:space="preserve">; RIBEIRO, Leonardo Silva; SILVA, Junior Vagner Pereira da. </w:t>
      </w:r>
      <w:r>
        <w:rPr>
          <w:b/>
          <w:bCs/>
          <w:sz w:val="22"/>
          <w:szCs w:val="22"/>
        </w:rPr>
        <w:t>Vida universitária e atuação do associativismo no lazer estudantil.</w:t>
      </w:r>
      <w:r>
        <w:rPr>
          <w:sz w:val="22"/>
          <w:szCs w:val="22"/>
        </w:rPr>
        <w:t xml:space="preserve"> Revista Brasileira de Ciências do Esporte, v. 45, e20220099, 2023. </w:t>
      </w:r>
    </w:p>
    <w:p w:rsidR="00E8006B" w:rsidRDefault="009B70C8">
      <w:pPr>
        <w:spacing w:before="240" w:after="240" w:line="360" w:lineRule="auto"/>
        <w:jc w:val="both"/>
        <w:rPr>
          <w:sz w:val="22"/>
          <w:szCs w:val="22"/>
        </w:rPr>
      </w:pPr>
      <w:r>
        <w:rPr>
          <w:sz w:val="22"/>
          <w:szCs w:val="22"/>
        </w:rPr>
        <w:t xml:space="preserve">MUÑOZ-BULLÓN, F.; SANCHEZ-BUENO, M. J.; VOS-SAZ, A. </w:t>
      </w:r>
      <w:r>
        <w:rPr>
          <w:b/>
          <w:bCs/>
          <w:sz w:val="22"/>
          <w:szCs w:val="22"/>
        </w:rPr>
        <w:t xml:space="preserve">The </w:t>
      </w:r>
      <w:proofErr w:type="spellStart"/>
      <w:r>
        <w:rPr>
          <w:b/>
          <w:bCs/>
          <w:sz w:val="22"/>
          <w:szCs w:val="22"/>
        </w:rPr>
        <w:t>influence</w:t>
      </w:r>
      <w:proofErr w:type="spellEnd"/>
      <w:r>
        <w:rPr>
          <w:b/>
          <w:bCs/>
          <w:sz w:val="22"/>
          <w:szCs w:val="22"/>
        </w:rPr>
        <w:t xml:space="preserve"> </w:t>
      </w:r>
      <w:proofErr w:type="spellStart"/>
      <w:r>
        <w:rPr>
          <w:b/>
          <w:bCs/>
          <w:sz w:val="22"/>
          <w:szCs w:val="22"/>
        </w:rPr>
        <w:t>of</w:t>
      </w:r>
      <w:proofErr w:type="spellEnd"/>
      <w:r>
        <w:rPr>
          <w:b/>
          <w:bCs/>
          <w:sz w:val="22"/>
          <w:szCs w:val="22"/>
        </w:rPr>
        <w:t xml:space="preserve"> </w:t>
      </w:r>
      <w:proofErr w:type="spellStart"/>
      <w:r>
        <w:rPr>
          <w:b/>
          <w:bCs/>
          <w:sz w:val="22"/>
          <w:szCs w:val="22"/>
        </w:rPr>
        <w:t>sports</w:t>
      </w:r>
      <w:proofErr w:type="spellEnd"/>
      <w:r>
        <w:rPr>
          <w:b/>
          <w:bCs/>
          <w:sz w:val="22"/>
          <w:szCs w:val="22"/>
        </w:rPr>
        <w:t xml:space="preserve"> </w:t>
      </w:r>
      <w:proofErr w:type="spellStart"/>
      <w:r>
        <w:rPr>
          <w:b/>
          <w:bCs/>
          <w:sz w:val="22"/>
          <w:szCs w:val="22"/>
        </w:rPr>
        <w:t>participation</w:t>
      </w:r>
      <w:proofErr w:type="spellEnd"/>
      <w:r>
        <w:rPr>
          <w:b/>
          <w:bCs/>
          <w:sz w:val="22"/>
          <w:szCs w:val="22"/>
        </w:rPr>
        <w:t xml:space="preserve"> </w:t>
      </w:r>
      <w:proofErr w:type="spellStart"/>
      <w:r>
        <w:rPr>
          <w:b/>
          <w:bCs/>
          <w:sz w:val="22"/>
          <w:szCs w:val="22"/>
        </w:rPr>
        <w:t>on</w:t>
      </w:r>
      <w:proofErr w:type="spellEnd"/>
      <w:r>
        <w:rPr>
          <w:b/>
          <w:bCs/>
          <w:sz w:val="22"/>
          <w:szCs w:val="22"/>
        </w:rPr>
        <w:t xml:space="preserve"> </w:t>
      </w:r>
      <w:proofErr w:type="spellStart"/>
      <w:r>
        <w:rPr>
          <w:b/>
          <w:bCs/>
          <w:sz w:val="22"/>
          <w:szCs w:val="22"/>
        </w:rPr>
        <w:t>academic</w:t>
      </w:r>
      <w:proofErr w:type="spellEnd"/>
      <w:r>
        <w:rPr>
          <w:b/>
          <w:bCs/>
          <w:sz w:val="22"/>
          <w:szCs w:val="22"/>
        </w:rPr>
        <w:t xml:space="preserve"> performance </w:t>
      </w:r>
      <w:proofErr w:type="spellStart"/>
      <w:r>
        <w:rPr>
          <w:b/>
          <w:bCs/>
          <w:sz w:val="22"/>
          <w:szCs w:val="22"/>
        </w:rPr>
        <w:t>among</w:t>
      </w:r>
      <w:proofErr w:type="spellEnd"/>
      <w:r>
        <w:rPr>
          <w:b/>
          <w:bCs/>
          <w:sz w:val="22"/>
          <w:szCs w:val="22"/>
        </w:rPr>
        <w:t xml:space="preserve"> </w:t>
      </w:r>
      <w:proofErr w:type="spellStart"/>
      <w:r>
        <w:rPr>
          <w:b/>
          <w:bCs/>
          <w:sz w:val="22"/>
          <w:szCs w:val="22"/>
        </w:rPr>
        <w:t>students</w:t>
      </w:r>
      <w:proofErr w:type="spellEnd"/>
      <w:r>
        <w:rPr>
          <w:b/>
          <w:bCs/>
          <w:sz w:val="22"/>
          <w:szCs w:val="22"/>
        </w:rPr>
        <w:t xml:space="preserve"> in </w:t>
      </w:r>
      <w:proofErr w:type="spellStart"/>
      <w:r>
        <w:rPr>
          <w:b/>
          <w:bCs/>
          <w:sz w:val="22"/>
          <w:szCs w:val="22"/>
        </w:rPr>
        <w:t>higher</w:t>
      </w:r>
      <w:proofErr w:type="spellEnd"/>
      <w:r>
        <w:rPr>
          <w:b/>
          <w:bCs/>
          <w:sz w:val="22"/>
          <w:szCs w:val="22"/>
        </w:rPr>
        <w:t xml:space="preserve"> </w:t>
      </w:r>
      <w:proofErr w:type="spellStart"/>
      <w:r>
        <w:rPr>
          <w:b/>
          <w:bCs/>
          <w:sz w:val="22"/>
          <w:szCs w:val="22"/>
        </w:rPr>
        <w:t>education</w:t>
      </w:r>
      <w:proofErr w:type="spellEnd"/>
      <w:r>
        <w:rPr>
          <w:b/>
          <w:bCs/>
          <w:sz w:val="22"/>
          <w:szCs w:val="22"/>
        </w:rPr>
        <w:t>.</w:t>
      </w:r>
      <w:r>
        <w:rPr>
          <w:sz w:val="22"/>
          <w:szCs w:val="22"/>
        </w:rPr>
        <w:t xml:space="preserve"> Sport Management </w:t>
      </w:r>
      <w:proofErr w:type="spellStart"/>
      <w:r>
        <w:rPr>
          <w:sz w:val="22"/>
          <w:szCs w:val="22"/>
        </w:rPr>
        <w:t>Review</w:t>
      </w:r>
      <w:proofErr w:type="spellEnd"/>
      <w:r>
        <w:rPr>
          <w:sz w:val="22"/>
          <w:szCs w:val="22"/>
        </w:rPr>
        <w:t>, v. 20, n. 4, p. 365–378, 2017.</w:t>
      </w:r>
    </w:p>
    <w:p w:rsidR="00E8006B" w:rsidRDefault="009B70C8">
      <w:pPr>
        <w:spacing w:line="360" w:lineRule="auto"/>
        <w:jc w:val="both"/>
        <w:rPr>
          <w:sz w:val="22"/>
          <w:szCs w:val="22"/>
        </w:rPr>
      </w:pPr>
      <w:r>
        <w:rPr>
          <w:sz w:val="22"/>
          <w:szCs w:val="22"/>
        </w:rPr>
        <w:t xml:space="preserve">PEREIRA, Brisa de Assis; SILVA, Luciano Pereira da. </w:t>
      </w:r>
      <w:r>
        <w:rPr>
          <w:b/>
          <w:bCs/>
          <w:sz w:val="22"/>
          <w:szCs w:val="22"/>
        </w:rPr>
        <w:t>Políticas de Esporte e Lazer nas Universidades Federais de Minas Gerais: Um Olhar sobre as Associações Atléticas Acadêmicas.</w:t>
      </w:r>
      <w:r>
        <w:rPr>
          <w:sz w:val="22"/>
          <w:szCs w:val="22"/>
        </w:rPr>
        <w:t xml:space="preserve"> </w:t>
      </w:r>
      <w:proofErr w:type="spellStart"/>
      <w:r>
        <w:rPr>
          <w:sz w:val="22"/>
          <w:szCs w:val="22"/>
        </w:rPr>
        <w:t>Licere</w:t>
      </w:r>
      <w:proofErr w:type="spellEnd"/>
      <w:r>
        <w:rPr>
          <w:sz w:val="22"/>
          <w:szCs w:val="22"/>
        </w:rPr>
        <w:t xml:space="preserve">, v. 22, n. 4, 2019. </w:t>
      </w:r>
    </w:p>
    <w:p w:rsidR="00E8006B" w:rsidRDefault="009B70C8">
      <w:pPr>
        <w:spacing w:before="240" w:after="240" w:line="360" w:lineRule="auto"/>
        <w:jc w:val="both"/>
        <w:rPr>
          <w:rFonts w:eastAsia="Arial"/>
          <w:sz w:val="22"/>
          <w:szCs w:val="22"/>
        </w:rPr>
      </w:pPr>
      <w:r>
        <w:rPr>
          <w:rFonts w:eastAsia="Arial"/>
          <w:sz w:val="22"/>
          <w:szCs w:val="22"/>
        </w:rPr>
        <w:t xml:space="preserve">PESSOA, Vitor Lucas de Faria; DIAS, Cleber. </w:t>
      </w:r>
      <w:r>
        <w:rPr>
          <w:rFonts w:eastAsia="Arial"/>
          <w:b/>
          <w:bCs/>
          <w:sz w:val="22"/>
          <w:szCs w:val="22"/>
        </w:rPr>
        <w:t>História do esporte universitário no Brasil (1933–1941).</w:t>
      </w:r>
      <w:r>
        <w:rPr>
          <w:rFonts w:eastAsia="Arial"/>
          <w:sz w:val="22"/>
          <w:szCs w:val="22"/>
        </w:rPr>
        <w:t xml:space="preserve"> Movimento, v. 25, e25013, 2019. </w:t>
      </w:r>
    </w:p>
    <w:p w:rsidR="00E8006B" w:rsidRDefault="009B70C8">
      <w:pPr>
        <w:spacing w:before="240" w:after="240" w:line="360" w:lineRule="auto"/>
        <w:jc w:val="both"/>
        <w:rPr>
          <w:rFonts w:eastAsia="Arial"/>
          <w:sz w:val="22"/>
          <w:szCs w:val="22"/>
        </w:rPr>
      </w:pPr>
      <w:r>
        <w:rPr>
          <w:rFonts w:eastAsia="Arial"/>
          <w:sz w:val="22"/>
          <w:szCs w:val="22"/>
        </w:rPr>
        <w:t xml:space="preserve">PESSOA, Vitor Lucas de Faria; DIAS, Cleber. </w:t>
      </w:r>
      <w:r>
        <w:rPr>
          <w:rFonts w:eastAsia="Arial"/>
          <w:b/>
          <w:bCs/>
          <w:sz w:val="22"/>
          <w:szCs w:val="22"/>
        </w:rPr>
        <w:t>Política, associativismo e esporte universitário na década de 1930.</w:t>
      </w:r>
      <w:r>
        <w:rPr>
          <w:rFonts w:eastAsia="Arial"/>
          <w:sz w:val="22"/>
          <w:szCs w:val="22"/>
        </w:rPr>
        <w:t xml:space="preserve"> Movimento, v. 26, e26096, 2020.</w:t>
      </w:r>
    </w:p>
    <w:p w:rsidR="00E8006B" w:rsidRDefault="009B70C8">
      <w:pPr>
        <w:spacing w:before="240" w:after="240" w:line="360" w:lineRule="auto"/>
        <w:jc w:val="both"/>
        <w:rPr>
          <w:rFonts w:eastAsia="Arial"/>
          <w:sz w:val="22"/>
          <w:szCs w:val="22"/>
        </w:rPr>
      </w:pPr>
      <w:r>
        <w:rPr>
          <w:rFonts w:eastAsia="Arial"/>
          <w:sz w:val="22"/>
          <w:szCs w:val="22"/>
        </w:rPr>
        <w:t xml:space="preserve">POLLEY, Martin. </w:t>
      </w:r>
      <w:r>
        <w:rPr>
          <w:rFonts w:eastAsia="Arial"/>
          <w:b/>
          <w:bCs/>
          <w:sz w:val="22"/>
          <w:szCs w:val="22"/>
        </w:rPr>
        <w:t xml:space="preserve">Sports </w:t>
      </w:r>
      <w:proofErr w:type="spellStart"/>
      <w:r>
        <w:rPr>
          <w:rFonts w:eastAsia="Arial"/>
          <w:b/>
          <w:bCs/>
          <w:sz w:val="22"/>
          <w:szCs w:val="22"/>
        </w:rPr>
        <w:t>development</w:t>
      </w:r>
      <w:proofErr w:type="spellEnd"/>
      <w:r>
        <w:rPr>
          <w:rFonts w:eastAsia="Arial"/>
          <w:b/>
          <w:bCs/>
          <w:sz w:val="22"/>
          <w:szCs w:val="22"/>
        </w:rPr>
        <w:t xml:space="preserve"> in </w:t>
      </w:r>
      <w:proofErr w:type="spellStart"/>
      <w:r>
        <w:rPr>
          <w:rFonts w:eastAsia="Arial"/>
          <w:b/>
          <w:bCs/>
          <w:sz w:val="22"/>
          <w:szCs w:val="22"/>
        </w:rPr>
        <w:t>the</w:t>
      </w:r>
      <w:proofErr w:type="spellEnd"/>
      <w:r>
        <w:rPr>
          <w:rFonts w:eastAsia="Arial"/>
          <w:b/>
          <w:bCs/>
          <w:sz w:val="22"/>
          <w:szCs w:val="22"/>
        </w:rPr>
        <w:t xml:space="preserve"> </w:t>
      </w:r>
      <w:proofErr w:type="spellStart"/>
      <w:r>
        <w:rPr>
          <w:rFonts w:eastAsia="Arial"/>
          <w:b/>
          <w:bCs/>
          <w:sz w:val="22"/>
          <w:szCs w:val="22"/>
        </w:rPr>
        <w:t>nineteenth-century</w:t>
      </w:r>
      <w:proofErr w:type="spellEnd"/>
      <w:r>
        <w:rPr>
          <w:rFonts w:eastAsia="Arial"/>
          <w:b/>
          <w:bCs/>
          <w:sz w:val="22"/>
          <w:szCs w:val="22"/>
        </w:rPr>
        <w:t xml:space="preserve"> British </w:t>
      </w:r>
      <w:proofErr w:type="spellStart"/>
      <w:r>
        <w:rPr>
          <w:rFonts w:eastAsia="Arial"/>
          <w:b/>
          <w:bCs/>
          <w:sz w:val="22"/>
          <w:szCs w:val="22"/>
        </w:rPr>
        <w:t>public</w:t>
      </w:r>
      <w:proofErr w:type="spellEnd"/>
      <w:r>
        <w:rPr>
          <w:rFonts w:eastAsia="Arial"/>
          <w:b/>
          <w:bCs/>
          <w:sz w:val="22"/>
          <w:szCs w:val="22"/>
        </w:rPr>
        <w:t xml:space="preserve"> </w:t>
      </w:r>
      <w:proofErr w:type="spellStart"/>
      <w:r>
        <w:rPr>
          <w:rFonts w:eastAsia="Arial"/>
          <w:b/>
          <w:bCs/>
          <w:sz w:val="22"/>
          <w:szCs w:val="22"/>
        </w:rPr>
        <w:t>schools</w:t>
      </w:r>
      <w:proofErr w:type="spellEnd"/>
      <w:r>
        <w:rPr>
          <w:rFonts w:eastAsia="Arial"/>
          <w:b/>
          <w:bCs/>
          <w:sz w:val="22"/>
          <w:szCs w:val="22"/>
        </w:rPr>
        <w:t>.</w:t>
      </w:r>
      <w:r>
        <w:rPr>
          <w:rFonts w:eastAsia="Arial"/>
          <w:sz w:val="22"/>
          <w:szCs w:val="22"/>
        </w:rPr>
        <w:t xml:space="preserve"> 9-19. In: HOULIHAN, </w:t>
      </w:r>
      <w:proofErr w:type="spellStart"/>
      <w:r>
        <w:rPr>
          <w:rFonts w:eastAsia="Arial"/>
          <w:sz w:val="22"/>
          <w:szCs w:val="22"/>
        </w:rPr>
        <w:t>Barrie</w:t>
      </w:r>
      <w:proofErr w:type="spellEnd"/>
      <w:r>
        <w:rPr>
          <w:rFonts w:eastAsia="Arial"/>
          <w:sz w:val="22"/>
          <w:szCs w:val="22"/>
        </w:rPr>
        <w:t xml:space="preserve">; </w:t>
      </w:r>
      <w:proofErr w:type="spellStart"/>
      <w:r>
        <w:rPr>
          <w:rFonts w:eastAsia="Arial"/>
          <w:sz w:val="22"/>
          <w:szCs w:val="22"/>
        </w:rPr>
        <w:t>GREEn</w:t>
      </w:r>
      <w:proofErr w:type="spellEnd"/>
      <w:r>
        <w:rPr>
          <w:rFonts w:eastAsia="Arial"/>
          <w:sz w:val="22"/>
          <w:szCs w:val="22"/>
        </w:rPr>
        <w:t>, Mick (</w:t>
      </w:r>
      <w:proofErr w:type="spellStart"/>
      <w:r>
        <w:rPr>
          <w:rFonts w:eastAsia="Arial"/>
          <w:sz w:val="22"/>
          <w:szCs w:val="22"/>
        </w:rPr>
        <w:t>eds</w:t>
      </w:r>
      <w:proofErr w:type="spellEnd"/>
      <w:r>
        <w:rPr>
          <w:rFonts w:eastAsia="Arial"/>
          <w:sz w:val="22"/>
          <w:szCs w:val="22"/>
        </w:rPr>
        <w:t xml:space="preserve">). </w:t>
      </w:r>
      <w:proofErr w:type="spellStart"/>
      <w:r>
        <w:rPr>
          <w:rFonts w:eastAsia="Arial"/>
          <w:sz w:val="22"/>
          <w:szCs w:val="22"/>
        </w:rPr>
        <w:t>Routledge</w:t>
      </w:r>
      <w:proofErr w:type="spellEnd"/>
      <w:r>
        <w:rPr>
          <w:rFonts w:eastAsia="Arial"/>
          <w:sz w:val="22"/>
          <w:szCs w:val="22"/>
        </w:rPr>
        <w:t xml:space="preserve"> </w:t>
      </w:r>
      <w:proofErr w:type="spellStart"/>
      <w:r>
        <w:rPr>
          <w:rFonts w:eastAsia="Arial"/>
          <w:sz w:val="22"/>
          <w:szCs w:val="22"/>
        </w:rPr>
        <w:t>handbook</w:t>
      </w:r>
      <w:proofErr w:type="spellEnd"/>
      <w:r>
        <w:rPr>
          <w:rFonts w:eastAsia="Arial"/>
          <w:sz w:val="22"/>
          <w:szCs w:val="22"/>
        </w:rPr>
        <w:t xml:space="preserve"> </w:t>
      </w:r>
      <w:proofErr w:type="spellStart"/>
      <w:r>
        <w:rPr>
          <w:rFonts w:eastAsia="Arial"/>
          <w:sz w:val="22"/>
          <w:szCs w:val="22"/>
        </w:rPr>
        <w:t>of</w:t>
      </w:r>
      <w:proofErr w:type="spellEnd"/>
      <w:r>
        <w:rPr>
          <w:rFonts w:eastAsia="Arial"/>
          <w:sz w:val="22"/>
          <w:szCs w:val="22"/>
        </w:rPr>
        <w:t xml:space="preserve"> </w:t>
      </w:r>
      <w:proofErr w:type="spellStart"/>
      <w:r>
        <w:rPr>
          <w:rFonts w:eastAsia="Arial"/>
          <w:sz w:val="22"/>
          <w:szCs w:val="22"/>
        </w:rPr>
        <w:t>sports</w:t>
      </w:r>
      <w:proofErr w:type="spellEnd"/>
      <w:r>
        <w:rPr>
          <w:rFonts w:eastAsia="Arial"/>
          <w:sz w:val="22"/>
          <w:szCs w:val="22"/>
        </w:rPr>
        <w:t xml:space="preserve"> </w:t>
      </w:r>
      <w:proofErr w:type="spellStart"/>
      <w:r>
        <w:rPr>
          <w:rFonts w:eastAsia="Arial"/>
          <w:sz w:val="22"/>
          <w:szCs w:val="22"/>
        </w:rPr>
        <w:t>development</w:t>
      </w:r>
      <w:proofErr w:type="spellEnd"/>
      <w:r>
        <w:rPr>
          <w:rFonts w:eastAsia="Arial"/>
          <w:sz w:val="22"/>
          <w:szCs w:val="22"/>
        </w:rPr>
        <w:t xml:space="preserve">. New York: </w:t>
      </w:r>
      <w:proofErr w:type="spellStart"/>
      <w:r>
        <w:rPr>
          <w:rFonts w:eastAsia="Arial"/>
          <w:sz w:val="22"/>
          <w:szCs w:val="22"/>
        </w:rPr>
        <w:t>Routledge</w:t>
      </w:r>
      <w:proofErr w:type="spellEnd"/>
      <w:r>
        <w:rPr>
          <w:rFonts w:eastAsia="Arial"/>
          <w:sz w:val="22"/>
          <w:szCs w:val="22"/>
        </w:rPr>
        <w:t xml:space="preserve">, 2011. </w:t>
      </w:r>
    </w:p>
    <w:p w:rsidR="00E8006B" w:rsidRDefault="009B70C8">
      <w:pPr>
        <w:spacing w:before="240" w:after="240" w:line="360" w:lineRule="auto"/>
        <w:jc w:val="both"/>
        <w:rPr>
          <w:rFonts w:eastAsia="Aptos"/>
          <w:sz w:val="22"/>
          <w:szCs w:val="22"/>
        </w:rPr>
      </w:pPr>
      <w:r>
        <w:rPr>
          <w:rFonts w:eastAsia="Aptos"/>
          <w:sz w:val="22"/>
          <w:szCs w:val="22"/>
        </w:rPr>
        <w:t xml:space="preserve">SANTOS, João Manuel Casquinha Malaia. </w:t>
      </w:r>
      <w:proofErr w:type="spellStart"/>
      <w:r>
        <w:rPr>
          <w:rFonts w:eastAsia="Aptos"/>
          <w:b/>
          <w:bCs/>
          <w:sz w:val="22"/>
          <w:szCs w:val="22"/>
        </w:rPr>
        <w:t>Brazil</w:t>
      </w:r>
      <w:proofErr w:type="spellEnd"/>
      <w:r>
        <w:rPr>
          <w:rFonts w:eastAsia="Aptos"/>
          <w:b/>
          <w:bCs/>
          <w:sz w:val="22"/>
          <w:szCs w:val="22"/>
        </w:rPr>
        <w:t xml:space="preserve">: </w:t>
      </w:r>
      <w:proofErr w:type="spellStart"/>
      <w:r>
        <w:rPr>
          <w:rFonts w:eastAsia="Aptos"/>
          <w:b/>
          <w:bCs/>
          <w:sz w:val="22"/>
          <w:szCs w:val="22"/>
        </w:rPr>
        <w:t>an</w:t>
      </w:r>
      <w:proofErr w:type="spellEnd"/>
      <w:r>
        <w:rPr>
          <w:rFonts w:eastAsia="Aptos"/>
          <w:b/>
          <w:bCs/>
          <w:sz w:val="22"/>
          <w:szCs w:val="22"/>
        </w:rPr>
        <w:t xml:space="preserve"> </w:t>
      </w:r>
      <w:proofErr w:type="spellStart"/>
      <w:r>
        <w:rPr>
          <w:rFonts w:eastAsia="Aptos"/>
          <w:b/>
          <w:bCs/>
          <w:sz w:val="22"/>
          <w:szCs w:val="22"/>
        </w:rPr>
        <w:t>emerging</w:t>
      </w:r>
      <w:proofErr w:type="spellEnd"/>
      <w:r>
        <w:rPr>
          <w:rFonts w:eastAsia="Aptos"/>
          <w:b/>
          <w:bCs/>
          <w:sz w:val="22"/>
          <w:szCs w:val="22"/>
        </w:rPr>
        <w:t xml:space="preserve"> </w:t>
      </w:r>
      <w:proofErr w:type="spellStart"/>
      <w:r>
        <w:rPr>
          <w:rFonts w:eastAsia="Aptos"/>
          <w:b/>
          <w:bCs/>
          <w:sz w:val="22"/>
          <w:szCs w:val="22"/>
        </w:rPr>
        <w:t>power</w:t>
      </w:r>
      <w:proofErr w:type="spellEnd"/>
      <w:r>
        <w:rPr>
          <w:rFonts w:eastAsia="Aptos"/>
          <w:b/>
          <w:bCs/>
          <w:sz w:val="22"/>
          <w:szCs w:val="22"/>
        </w:rPr>
        <w:t xml:space="preserve"> </w:t>
      </w:r>
      <w:proofErr w:type="spellStart"/>
      <w:r>
        <w:rPr>
          <w:rFonts w:eastAsia="Aptos"/>
          <w:b/>
          <w:bCs/>
          <w:sz w:val="22"/>
          <w:szCs w:val="22"/>
        </w:rPr>
        <w:t>establishing</w:t>
      </w:r>
      <w:proofErr w:type="spellEnd"/>
      <w:r>
        <w:rPr>
          <w:rFonts w:eastAsia="Aptos"/>
          <w:b/>
          <w:bCs/>
          <w:sz w:val="22"/>
          <w:szCs w:val="22"/>
        </w:rPr>
        <w:t xml:space="preserve"> </w:t>
      </w:r>
      <w:proofErr w:type="spellStart"/>
      <w:r>
        <w:rPr>
          <w:rFonts w:eastAsia="Aptos"/>
          <w:b/>
          <w:bCs/>
          <w:sz w:val="22"/>
          <w:szCs w:val="22"/>
        </w:rPr>
        <w:t>itself</w:t>
      </w:r>
      <w:proofErr w:type="spellEnd"/>
      <w:r>
        <w:rPr>
          <w:rFonts w:eastAsia="Aptos"/>
          <w:b/>
          <w:bCs/>
          <w:sz w:val="22"/>
          <w:szCs w:val="22"/>
        </w:rPr>
        <w:t xml:space="preserve"> in </w:t>
      </w:r>
      <w:proofErr w:type="spellStart"/>
      <w:r>
        <w:rPr>
          <w:rFonts w:eastAsia="Aptos"/>
          <w:b/>
          <w:bCs/>
          <w:sz w:val="22"/>
          <w:szCs w:val="22"/>
        </w:rPr>
        <w:t>the</w:t>
      </w:r>
      <w:proofErr w:type="spellEnd"/>
      <w:r>
        <w:rPr>
          <w:rFonts w:eastAsia="Aptos"/>
          <w:b/>
          <w:bCs/>
          <w:sz w:val="22"/>
          <w:szCs w:val="22"/>
        </w:rPr>
        <w:t xml:space="preserve"> world </w:t>
      </w:r>
      <w:proofErr w:type="spellStart"/>
      <w:r>
        <w:rPr>
          <w:rFonts w:eastAsia="Aptos"/>
          <w:b/>
          <w:bCs/>
          <w:sz w:val="22"/>
          <w:szCs w:val="22"/>
        </w:rPr>
        <w:t>of</w:t>
      </w:r>
      <w:proofErr w:type="spellEnd"/>
      <w:r>
        <w:rPr>
          <w:rFonts w:eastAsia="Aptos"/>
          <w:b/>
          <w:bCs/>
          <w:sz w:val="22"/>
          <w:szCs w:val="22"/>
        </w:rPr>
        <w:t xml:space="preserve"> </w:t>
      </w:r>
      <w:proofErr w:type="spellStart"/>
      <w:r>
        <w:rPr>
          <w:rFonts w:eastAsia="Aptos"/>
          <w:b/>
          <w:bCs/>
          <w:sz w:val="22"/>
          <w:szCs w:val="22"/>
        </w:rPr>
        <w:t>international</w:t>
      </w:r>
      <w:proofErr w:type="spellEnd"/>
      <w:r>
        <w:rPr>
          <w:rFonts w:eastAsia="Aptos"/>
          <w:b/>
          <w:bCs/>
          <w:sz w:val="22"/>
          <w:szCs w:val="22"/>
        </w:rPr>
        <w:t xml:space="preserve"> </w:t>
      </w:r>
      <w:proofErr w:type="spellStart"/>
      <w:r>
        <w:rPr>
          <w:rFonts w:eastAsia="Aptos"/>
          <w:b/>
          <w:bCs/>
          <w:sz w:val="22"/>
          <w:szCs w:val="22"/>
        </w:rPr>
        <w:t>sports</w:t>
      </w:r>
      <w:proofErr w:type="spellEnd"/>
      <w:r>
        <w:rPr>
          <w:rFonts w:eastAsia="Aptos"/>
          <w:b/>
          <w:bCs/>
          <w:sz w:val="22"/>
          <w:szCs w:val="22"/>
        </w:rPr>
        <w:t xml:space="preserve"> </w:t>
      </w:r>
      <w:proofErr w:type="spellStart"/>
      <w:r>
        <w:rPr>
          <w:rFonts w:eastAsia="Aptos"/>
          <w:b/>
          <w:bCs/>
          <w:sz w:val="22"/>
          <w:szCs w:val="22"/>
        </w:rPr>
        <w:t>mega-events</w:t>
      </w:r>
      <w:proofErr w:type="spellEnd"/>
      <w:r>
        <w:rPr>
          <w:rFonts w:eastAsia="Aptos"/>
          <w:b/>
          <w:bCs/>
          <w:sz w:val="22"/>
          <w:szCs w:val="22"/>
        </w:rPr>
        <w:t>.</w:t>
      </w:r>
      <w:r>
        <w:rPr>
          <w:rFonts w:eastAsia="Aptos"/>
          <w:sz w:val="22"/>
          <w:szCs w:val="22"/>
        </w:rPr>
        <w:t xml:space="preserve"> The </w:t>
      </w:r>
      <w:proofErr w:type="spellStart"/>
      <w:r>
        <w:rPr>
          <w:rFonts w:eastAsia="Aptos"/>
          <w:sz w:val="22"/>
          <w:szCs w:val="22"/>
        </w:rPr>
        <w:t>International</w:t>
      </w:r>
      <w:proofErr w:type="spellEnd"/>
      <w:r>
        <w:rPr>
          <w:rFonts w:eastAsia="Aptos"/>
          <w:sz w:val="22"/>
          <w:szCs w:val="22"/>
        </w:rPr>
        <w:t xml:space="preserve"> </w:t>
      </w:r>
      <w:proofErr w:type="spellStart"/>
      <w:r>
        <w:rPr>
          <w:rFonts w:eastAsia="Aptos"/>
          <w:sz w:val="22"/>
          <w:szCs w:val="22"/>
        </w:rPr>
        <w:t>Journal</w:t>
      </w:r>
      <w:proofErr w:type="spellEnd"/>
      <w:r>
        <w:rPr>
          <w:rFonts w:eastAsia="Aptos"/>
          <w:sz w:val="22"/>
          <w:szCs w:val="22"/>
        </w:rPr>
        <w:t xml:space="preserve"> </w:t>
      </w:r>
      <w:proofErr w:type="spellStart"/>
      <w:r>
        <w:rPr>
          <w:rFonts w:eastAsia="Aptos"/>
          <w:sz w:val="22"/>
          <w:szCs w:val="22"/>
        </w:rPr>
        <w:t>of</w:t>
      </w:r>
      <w:proofErr w:type="spellEnd"/>
      <w:r>
        <w:rPr>
          <w:rFonts w:eastAsia="Aptos"/>
          <w:sz w:val="22"/>
          <w:szCs w:val="22"/>
        </w:rPr>
        <w:t xml:space="preserve"> </w:t>
      </w:r>
      <w:proofErr w:type="spellStart"/>
      <w:r>
        <w:rPr>
          <w:rFonts w:eastAsia="Aptos"/>
          <w:sz w:val="22"/>
          <w:szCs w:val="22"/>
        </w:rPr>
        <w:t>the</w:t>
      </w:r>
      <w:proofErr w:type="spellEnd"/>
      <w:r>
        <w:rPr>
          <w:rFonts w:eastAsia="Aptos"/>
          <w:sz w:val="22"/>
          <w:szCs w:val="22"/>
        </w:rPr>
        <w:t xml:space="preserve"> </w:t>
      </w:r>
      <w:proofErr w:type="spellStart"/>
      <w:r>
        <w:rPr>
          <w:rFonts w:eastAsia="Aptos"/>
          <w:sz w:val="22"/>
          <w:szCs w:val="22"/>
        </w:rPr>
        <w:t>History</w:t>
      </w:r>
      <w:proofErr w:type="spellEnd"/>
      <w:r>
        <w:rPr>
          <w:rFonts w:eastAsia="Aptos"/>
          <w:sz w:val="22"/>
          <w:szCs w:val="22"/>
        </w:rPr>
        <w:t xml:space="preserve"> </w:t>
      </w:r>
      <w:proofErr w:type="spellStart"/>
      <w:r>
        <w:rPr>
          <w:rFonts w:eastAsia="Aptos"/>
          <w:sz w:val="22"/>
          <w:szCs w:val="22"/>
        </w:rPr>
        <w:t>of</w:t>
      </w:r>
      <w:proofErr w:type="spellEnd"/>
      <w:r>
        <w:rPr>
          <w:rFonts w:eastAsia="Aptos"/>
          <w:sz w:val="22"/>
          <w:szCs w:val="22"/>
        </w:rPr>
        <w:t xml:space="preserve"> Sport, v. 31, n. 10, 1312-1327, 2014.</w:t>
      </w:r>
    </w:p>
    <w:p w:rsidR="00E8006B" w:rsidRDefault="009B70C8">
      <w:pPr>
        <w:spacing w:before="240" w:after="240" w:line="360" w:lineRule="auto"/>
        <w:jc w:val="both"/>
        <w:rPr>
          <w:rFonts w:eastAsia="Aptos"/>
          <w:sz w:val="22"/>
          <w:szCs w:val="22"/>
        </w:rPr>
      </w:pPr>
      <w:r>
        <w:rPr>
          <w:rFonts w:eastAsia="Aptos"/>
          <w:sz w:val="22"/>
          <w:szCs w:val="22"/>
        </w:rPr>
        <w:lastRenderedPageBreak/>
        <w:t xml:space="preserve">SANTOS, João Manuel Casquinha Malaia. </w:t>
      </w:r>
      <w:r>
        <w:rPr>
          <w:rFonts w:eastAsia="Aptos"/>
          <w:b/>
          <w:bCs/>
          <w:sz w:val="22"/>
          <w:szCs w:val="22"/>
          <w:lang w:val="es-ES"/>
        </w:rPr>
        <w:t>Estado, deporte y modernidad excluyente: un proyecto para las elites brasileñas.</w:t>
      </w:r>
      <w:r>
        <w:rPr>
          <w:rFonts w:eastAsia="Aptos"/>
          <w:sz w:val="22"/>
          <w:szCs w:val="22"/>
          <w:lang w:val="es-ES"/>
        </w:rPr>
        <w:t xml:space="preserve"> In: TORRES, Carles </w:t>
      </w:r>
      <w:proofErr w:type="spellStart"/>
      <w:r>
        <w:rPr>
          <w:rFonts w:eastAsia="Aptos"/>
          <w:sz w:val="22"/>
          <w:szCs w:val="22"/>
          <w:lang w:val="es-ES"/>
        </w:rPr>
        <w:t>Santacana</w:t>
      </w:r>
      <w:proofErr w:type="spellEnd"/>
      <w:r>
        <w:rPr>
          <w:rFonts w:eastAsia="Aptos"/>
          <w:sz w:val="22"/>
          <w:szCs w:val="22"/>
          <w:lang w:val="es-ES"/>
        </w:rPr>
        <w:t xml:space="preserve">; DIAS, </w:t>
      </w:r>
      <w:proofErr w:type="spellStart"/>
      <w:r>
        <w:rPr>
          <w:rFonts w:eastAsia="Aptos"/>
          <w:sz w:val="22"/>
          <w:szCs w:val="22"/>
          <w:lang w:val="es-ES"/>
        </w:rPr>
        <w:t>Cleber</w:t>
      </w:r>
      <w:proofErr w:type="spellEnd"/>
      <w:r>
        <w:rPr>
          <w:rFonts w:eastAsia="Aptos"/>
          <w:sz w:val="22"/>
          <w:szCs w:val="22"/>
          <w:lang w:val="es-ES"/>
        </w:rPr>
        <w:t xml:space="preserve"> (</w:t>
      </w:r>
      <w:proofErr w:type="spellStart"/>
      <w:r>
        <w:rPr>
          <w:rFonts w:eastAsia="Aptos"/>
          <w:sz w:val="22"/>
          <w:szCs w:val="22"/>
          <w:lang w:val="es-ES"/>
        </w:rPr>
        <w:t>orgs</w:t>
      </w:r>
      <w:proofErr w:type="spellEnd"/>
      <w:r>
        <w:rPr>
          <w:rFonts w:eastAsia="Aptos"/>
          <w:sz w:val="22"/>
          <w:szCs w:val="22"/>
          <w:lang w:val="es-ES"/>
        </w:rPr>
        <w:t xml:space="preserve">.). Deporte, </w:t>
      </w:r>
      <w:proofErr w:type="spellStart"/>
      <w:r>
        <w:rPr>
          <w:rFonts w:eastAsia="Aptos"/>
          <w:sz w:val="22"/>
          <w:szCs w:val="22"/>
          <w:lang w:val="es-ES"/>
        </w:rPr>
        <w:t>ócio</w:t>
      </w:r>
      <w:proofErr w:type="spellEnd"/>
      <w:r>
        <w:rPr>
          <w:rFonts w:eastAsia="Aptos"/>
          <w:sz w:val="22"/>
          <w:szCs w:val="22"/>
          <w:lang w:val="es-ES"/>
        </w:rPr>
        <w:t xml:space="preserve"> y nacionalización: diálogos transnacionales. </w:t>
      </w:r>
      <w:r>
        <w:rPr>
          <w:rFonts w:eastAsia="Aptos"/>
          <w:sz w:val="22"/>
          <w:szCs w:val="22"/>
        </w:rPr>
        <w:t xml:space="preserve">Barcelona: </w:t>
      </w:r>
      <w:proofErr w:type="spellStart"/>
      <w:r>
        <w:rPr>
          <w:rFonts w:eastAsia="Aptos"/>
          <w:sz w:val="22"/>
          <w:szCs w:val="22"/>
        </w:rPr>
        <w:t>Silex</w:t>
      </w:r>
      <w:proofErr w:type="spellEnd"/>
      <w:r>
        <w:rPr>
          <w:rFonts w:eastAsia="Aptos"/>
          <w:sz w:val="22"/>
          <w:szCs w:val="22"/>
        </w:rPr>
        <w:t xml:space="preserve"> </w:t>
      </w:r>
      <w:proofErr w:type="spellStart"/>
      <w:r>
        <w:rPr>
          <w:rFonts w:eastAsia="Aptos"/>
          <w:sz w:val="22"/>
          <w:szCs w:val="22"/>
        </w:rPr>
        <w:t>Ediciones</w:t>
      </w:r>
      <w:proofErr w:type="spellEnd"/>
      <w:r>
        <w:rPr>
          <w:rFonts w:eastAsia="Aptos"/>
          <w:sz w:val="22"/>
          <w:szCs w:val="22"/>
        </w:rPr>
        <w:t>, 2024, p. 145-168.</w:t>
      </w:r>
    </w:p>
    <w:p w:rsidR="00E8006B" w:rsidRDefault="009B70C8">
      <w:pPr>
        <w:spacing w:before="240" w:after="240" w:line="360" w:lineRule="auto"/>
        <w:jc w:val="both"/>
        <w:rPr>
          <w:sz w:val="22"/>
          <w:szCs w:val="22"/>
        </w:rPr>
      </w:pPr>
      <w:r>
        <w:rPr>
          <w:sz w:val="22"/>
          <w:szCs w:val="22"/>
        </w:rPr>
        <w:t xml:space="preserve">SILVA, Sarah Nery Sant’Anna Marques da; PESSOA, Vitor Lucas de Faria; SILVA Luciano Pereira da. </w:t>
      </w:r>
      <w:r>
        <w:rPr>
          <w:b/>
          <w:bCs/>
          <w:sz w:val="22"/>
          <w:szCs w:val="22"/>
        </w:rPr>
        <w:t>A Percepção dos Estudantes/Atletas da Universidade Federal de Minas Gerais a Respeito dos Desafios do Esporte Universitário na Instituição.</w:t>
      </w:r>
      <w:r>
        <w:rPr>
          <w:sz w:val="22"/>
          <w:szCs w:val="22"/>
        </w:rPr>
        <w:t xml:space="preserve"> </w:t>
      </w:r>
      <w:proofErr w:type="spellStart"/>
      <w:r>
        <w:rPr>
          <w:sz w:val="22"/>
          <w:szCs w:val="22"/>
        </w:rPr>
        <w:t>Licere</w:t>
      </w:r>
      <w:proofErr w:type="spellEnd"/>
      <w:r>
        <w:rPr>
          <w:sz w:val="22"/>
          <w:szCs w:val="22"/>
        </w:rPr>
        <w:t>, v. 28, n. 3, 2025.</w:t>
      </w:r>
    </w:p>
    <w:p w:rsidR="00E8006B" w:rsidRDefault="009B70C8">
      <w:pPr>
        <w:spacing w:before="240" w:after="240" w:line="360" w:lineRule="auto"/>
        <w:jc w:val="both"/>
        <w:rPr>
          <w:sz w:val="22"/>
          <w:szCs w:val="22"/>
          <w:lang w:val="es-ES"/>
        </w:rPr>
      </w:pPr>
      <w:r>
        <w:rPr>
          <w:sz w:val="22"/>
          <w:szCs w:val="22"/>
        </w:rPr>
        <w:t xml:space="preserve">SMITH, Ronald A. </w:t>
      </w:r>
      <w:r>
        <w:rPr>
          <w:b/>
          <w:bCs/>
          <w:sz w:val="22"/>
          <w:szCs w:val="22"/>
        </w:rPr>
        <w:t xml:space="preserve">Sports </w:t>
      </w:r>
      <w:proofErr w:type="spellStart"/>
      <w:r>
        <w:rPr>
          <w:b/>
          <w:bCs/>
          <w:sz w:val="22"/>
          <w:szCs w:val="22"/>
        </w:rPr>
        <w:t>and</w:t>
      </w:r>
      <w:proofErr w:type="spellEnd"/>
      <w:r>
        <w:rPr>
          <w:b/>
          <w:bCs/>
          <w:sz w:val="22"/>
          <w:szCs w:val="22"/>
        </w:rPr>
        <w:t xml:space="preserve"> </w:t>
      </w:r>
      <w:proofErr w:type="spellStart"/>
      <w:r>
        <w:rPr>
          <w:b/>
          <w:bCs/>
          <w:sz w:val="22"/>
          <w:szCs w:val="22"/>
        </w:rPr>
        <w:t>Freedom</w:t>
      </w:r>
      <w:proofErr w:type="spellEnd"/>
      <w:r>
        <w:rPr>
          <w:b/>
          <w:bCs/>
          <w:sz w:val="22"/>
          <w:szCs w:val="22"/>
        </w:rPr>
        <w:t xml:space="preserve">: The </w:t>
      </w:r>
      <w:proofErr w:type="spellStart"/>
      <w:r>
        <w:rPr>
          <w:b/>
          <w:bCs/>
          <w:sz w:val="22"/>
          <w:szCs w:val="22"/>
        </w:rPr>
        <w:t>Rise</w:t>
      </w:r>
      <w:proofErr w:type="spellEnd"/>
      <w:r>
        <w:rPr>
          <w:b/>
          <w:bCs/>
          <w:sz w:val="22"/>
          <w:szCs w:val="22"/>
        </w:rPr>
        <w:t xml:space="preserve"> </w:t>
      </w:r>
      <w:proofErr w:type="spellStart"/>
      <w:r>
        <w:rPr>
          <w:b/>
          <w:bCs/>
          <w:sz w:val="22"/>
          <w:szCs w:val="22"/>
        </w:rPr>
        <w:t>of</w:t>
      </w:r>
      <w:proofErr w:type="spellEnd"/>
      <w:r>
        <w:rPr>
          <w:b/>
          <w:bCs/>
          <w:sz w:val="22"/>
          <w:szCs w:val="22"/>
        </w:rPr>
        <w:t xml:space="preserve"> Big-Time</w:t>
      </w:r>
      <w:r>
        <w:rPr>
          <w:sz w:val="22"/>
          <w:szCs w:val="22"/>
        </w:rPr>
        <w:t xml:space="preserve"> </w:t>
      </w:r>
      <w:proofErr w:type="spellStart"/>
      <w:r>
        <w:rPr>
          <w:sz w:val="22"/>
          <w:szCs w:val="22"/>
        </w:rPr>
        <w:t>College</w:t>
      </w:r>
      <w:proofErr w:type="spellEnd"/>
      <w:r>
        <w:rPr>
          <w:sz w:val="22"/>
          <w:szCs w:val="22"/>
        </w:rPr>
        <w:t xml:space="preserve"> </w:t>
      </w:r>
      <w:proofErr w:type="spellStart"/>
      <w:r>
        <w:rPr>
          <w:sz w:val="22"/>
          <w:szCs w:val="22"/>
        </w:rPr>
        <w:t>Athletics</w:t>
      </w:r>
      <w:proofErr w:type="spellEnd"/>
      <w:r>
        <w:rPr>
          <w:sz w:val="22"/>
          <w:szCs w:val="22"/>
        </w:rPr>
        <w:t xml:space="preserve">. </w:t>
      </w:r>
      <w:r>
        <w:rPr>
          <w:sz w:val="22"/>
          <w:szCs w:val="22"/>
          <w:lang w:val="es-ES"/>
        </w:rPr>
        <w:t xml:space="preserve">Oxford </w:t>
      </w:r>
      <w:proofErr w:type="spellStart"/>
      <w:r>
        <w:rPr>
          <w:sz w:val="22"/>
          <w:szCs w:val="22"/>
          <w:lang w:val="es-ES"/>
        </w:rPr>
        <w:t>University</w:t>
      </w:r>
      <w:proofErr w:type="spellEnd"/>
      <w:r>
        <w:rPr>
          <w:sz w:val="22"/>
          <w:szCs w:val="22"/>
          <w:lang w:val="es-ES"/>
        </w:rPr>
        <w:t xml:space="preserve"> </w:t>
      </w:r>
      <w:proofErr w:type="spellStart"/>
      <w:r>
        <w:rPr>
          <w:sz w:val="22"/>
          <w:szCs w:val="22"/>
          <w:lang w:val="es-ES"/>
        </w:rPr>
        <w:t>Press</w:t>
      </w:r>
      <w:proofErr w:type="spellEnd"/>
      <w:r>
        <w:rPr>
          <w:sz w:val="22"/>
          <w:szCs w:val="22"/>
          <w:lang w:val="es-ES"/>
        </w:rPr>
        <w:t>, 1988.</w:t>
      </w:r>
    </w:p>
    <w:p w:rsidR="00E8006B" w:rsidRDefault="009B70C8">
      <w:pPr>
        <w:spacing w:before="240" w:after="240" w:line="360" w:lineRule="auto"/>
        <w:jc w:val="both"/>
        <w:rPr>
          <w:sz w:val="22"/>
          <w:szCs w:val="22"/>
        </w:rPr>
      </w:pPr>
      <w:r>
        <w:rPr>
          <w:sz w:val="22"/>
          <w:szCs w:val="22"/>
          <w:lang w:val="es-ES"/>
        </w:rPr>
        <w:t xml:space="preserve">SOLBERG, </w:t>
      </w:r>
      <w:proofErr w:type="spellStart"/>
      <w:r>
        <w:rPr>
          <w:sz w:val="22"/>
          <w:szCs w:val="22"/>
          <w:lang w:val="es-ES"/>
        </w:rPr>
        <w:t>Winton</w:t>
      </w:r>
      <w:proofErr w:type="spellEnd"/>
      <w:r>
        <w:rPr>
          <w:sz w:val="22"/>
          <w:szCs w:val="22"/>
          <w:lang w:val="es-ES"/>
        </w:rPr>
        <w:t xml:space="preserve"> U. </w:t>
      </w:r>
      <w:proofErr w:type="spellStart"/>
      <w:r>
        <w:rPr>
          <w:b/>
          <w:bCs/>
          <w:sz w:val="22"/>
          <w:szCs w:val="22"/>
          <w:lang w:val="es-ES"/>
        </w:rPr>
        <w:t>Creating</w:t>
      </w:r>
      <w:proofErr w:type="spellEnd"/>
      <w:r>
        <w:rPr>
          <w:b/>
          <w:bCs/>
          <w:sz w:val="22"/>
          <w:szCs w:val="22"/>
          <w:lang w:val="es-ES"/>
        </w:rPr>
        <w:t xml:space="preserve"> </w:t>
      </w:r>
      <w:proofErr w:type="spellStart"/>
      <w:r>
        <w:rPr>
          <w:b/>
          <w:bCs/>
          <w:sz w:val="22"/>
          <w:szCs w:val="22"/>
          <w:lang w:val="es-ES"/>
        </w:rPr>
        <w:t>the</w:t>
      </w:r>
      <w:proofErr w:type="spellEnd"/>
      <w:r>
        <w:rPr>
          <w:b/>
          <w:bCs/>
          <w:sz w:val="22"/>
          <w:szCs w:val="22"/>
          <w:lang w:val="es-ES"/>
        </w:rPr>
        <w:t xml:space="preserve"> Big Ten: </w:t>
      </w:r>
      <w:proofErr w:type="spellStart"/>
      <w:r>
        <w:rPr>
          <w:b/>
          <w:bCs/>
          <w:sz w:val="22"/>
          <w:szCs w:val="22"/>
          <w:lang w:val="es-ES"/>
        </w:rPr>
        <w:t>Courage</w:t>
      </w:r>
      <w:proofErr w:type="spellEnd"/>
      <w:r>
        <w:rPr>
          <w:b/>
          <w:bCs/>
          <w:sz w:val="22"/>
          <w:szCs w:val="22"/>
          <w:lang w:val="es-ES"/>
        </w:rPr>
        <w:t xml:space="preserve">, </w:t>
      </w:r>
      <w:proofErr w:type="spellStart"/>
      <w:r>
        <w:rPr>
          <w:b/>
          <w:bCs/>
          <w:sz w:val="22"/>
          <w:szCs w:val="22"/>
          <w:lang w:val="es-ES"/>
        </w:rPr>
        <w:t>Corruption</w:t>
      </w:r>
      <w:proofErr w:type="spellEnd"/>
      <w:r>
        <w:rPr>
          <w:b/>
          <w:bCs/>
          <w:sz w:val="22"/>
          <w:szCs w:val="22"/>
          <w:lang w:val="es-ES"/>
        </w:rPr>
        <w:t xml:space="preserve">, and </w:t>
      </w:r>
      <w:proofErr w:type="spellStart"/>
      <w:r>
        <w:rPr>
          <w:b/>
          <w:bCs/>
          <w:sz w:val="22"/>
          <w:szCs w:val="22"/>
          <w:lang w:val="es-ES"/>
        </w:rPr>
        <w:t>Commercialization</w:t>
      </w:r>
      <w:proofErr w:type="spellEnd"/>
      <w:r>
        <w:rPr>
          <w:b/>
          <w:bCs/>
          <w:sz w:val="22"/>
          <w:szCs w:val="22"/>
          <w:lang w:val="es-ES"/>
        </w:rPr>
        <w:t>.</w:t>
      </w:r>
      <w:r>
        <w:rPr>
          <w:sz w:val="22"/>
          <w:szCs w:val="22"/>
          <w:lang w:val="es-ES"/>
        </w:rPr>
        <w:t xml:space="preserve"> </w:t>
      </w:r>
      <w:proofErr w:type="spellStart"/>
      <w:r>
        <w:rPr>
          <w:sz w:val="22"/>
          <w:szCs w:val="22"/>
        </w:rPr>
        <w:t>University</w:t>
      </w:r>
      <w:proofErr w:type="spellEnd"/>
      <w:r>
        <w:rPr>
          <w:sz w:val="22"/>
          <w:szCs w:val="22"/>
        </w:rPr>
        <w:t xml:space="preserve"> </w:t>
      </w:r>
      <w:proofErr w:type="spellStart"/>
      <w:r>
        <w:rPr>
          <w:sz w:val="22"/>
          <w:szCs w:val="22"/>
        </w:rPr>
        <w:t>of</w:t>
      </w:r>
      <w:proofErr w:type="spellEnd"/>
      <w:r>
        <w:rPr>
          <w:sz w:val="22"/>
          <w:szCs w:val="22"/>
        </w:rPr>
        <w:t xml:space="preserve"> Illinois Press, 2018.</w:t>
      </w:r>
    </w:p>
    <w:p w:rsidR="00E8006B" w:rsidRDefault="009B70C8">
      <w:pPr>
        <w:spacing w:before="240" w:after="240" w:line="360" w:lineRule="auto"/>
        <w:jc w:val="both"/>
        <w:rPr>
          <w:sz w:val="22"/>
          <w:szCs w:val="22"/>
        </w:rPr>
      </w:pPr>
      <w:r>
        <w:rPr>
          <w:sz w:val="22"/>
          <w:szCs w:val="22"/>
        </w:rPr>
        <w:t xml:space="preserve">SOU_CIÊNCIA. </w:t>
      </w:r>
      <w:r>
        <w:rPr>
          <w:b/>
          <w:bCs/>
          <w:sz w:val="22"/>
          <w:szCs w:val="22"/>
        </w:rPr>
        <w:t>Orçamento das Universidades Federais.</w:t>
      </w:r>
      <w:r>
        <w:rPr>
          <w:sz w:val="22"/>
          <w:szCs w:val="22"/>
        </w:rPr>
        <w:t xml:space="preserve"> São Paulo: UNIFESP, 2024. Disponível em: </w:t>
      </w:r>
      <w:hyperlink r:id="rId14">
        <w:r>
          <w:rPr>
            <w:rStyle w:val="Hyperlink"/>
            <w:sz w:val="22"/>
            <w:szCs w:val="22"/>
          </w:rPr>
          <w:t>https://souciencia.unifesp.br/dados-fctesp/orcamento-universidades-federais</w:t>
        </w:r>
      </w:hyperlink>
      <w:r>
        <w:rPr>
          <w:sz w:val="22"/>
          <w:szCs w:val="22"/>
        </w:rPr>
        <w:t>. Acesso em: 28 mar. 2026.</w:t>
      </w:r>
    </w:p>
    <w:p w:rsidR="00E8006B" w:rsidRDefault="009B70C8">
      <w:pPr>
        <w:spacing w:line="360" w:lineRule="auto"/>
        <w:jc w:val="both"/>
        <w:rPr>
          <w:sz w:val="22"/>
          <w:szCs w:val="22"/>
        </w:rPr>
      </w:pPr>
      <w:r>
        <w:rPr>
          <w:sz w:val="22"/>
          <w:szCs w:val="22"/>
        </w:rPr>
        <w:t xml:space="preserve">VIEIRA, Pablo Rogério da Silva; ATHAYDE, Pedro Fernando </w:t>
      </w:r>
      <w:proofErr w:type="spellStart"/>
      <w:r>
        <w:rPr>
          <w:sz w:val="22"/>
          <w:szCs w:val="22"/>
        </w:rPr>
        <w:t>Avalone</w:t>
      </w:r>
      <w:proofErr w:type="spellEnd"/>
      <w:r>
        <w:rPr>
          <w:sz w:val="22"/>
          <w:szCs w:val="22"/>
        </w:rPr>
        <w:t xml:space="preserve">. </w:t>
      </w:r>
      <w:r>
        <w:rPr>
          <w:b/>
          <w:bCs/>
          <w:sz w:val="22"/>
          <w:szCs w:val="22"/>
        </w:rPr>
        <w:t>Análise do esporte na política universitária de assistência estudantil na Universidade Federal do Oeste da Bahia – UFOB.</w:t>
      </w:r>
      <w:r>
        <w:rPr>
          <w:sz w:val="22"/>
          <w:szCs w:val="22"/>
        </w:rPr>
        <w:t xml:space="preserve"> Caderno de Educação Física e Esporte, v. 22, n. 1, 2023.</w:t>
      </w:r>
    </w:p>
    <w:p w:rsidR="00E8006B" w:rsidRDefault="00E8006B">
      <w:pPr>
        <w:spacing w:line="360" w:lineRule="auto"/>
        <w:jc w:val="both"/>
        <w:rPr>
          <w:sz w:val="22"/>
          <w:szCs w:val="22"/>
        </w:rPr>
      </w:pPr>
    </w:p>
    <w:sectPr w:rsidR="00E8006B">
      <w:footerReference w:type="even" r:id="rId15"/>
      <w:footerReference w:type="default" r:id="rId16"/>
      <w:footerReference w:type="first" r:id="rId1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2DA8" w:rsidRDefault="009B70C8">
      <w:r>
        <w:separator/>
      </w:r>
    </w:p>
  </w:endnote>
  <w:endnote w:type="continuationSeparator" w:id="0">
    <w:p w:rsidR="00572DA8" w:rsidRDefault="009B7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Helvetica;sans-serif">
    <w:altName w:val="Times New Roman"/>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6B" w:rsidRDefault="00E8006B">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6B" w:rsidRDefault="009B70C8">
    <w:pPr>
      <w:pStyle w:val="Rodap"/>
      <w:jc w:val="both"/>
      <w:rPr>
        <w:sz w:val="18"/>
        <w:szCs w:val="18"/>
      </w:rPr>
    </w:pPr>
    <w:r>
      <w:rPr>
        <w:rFonts w:ascii="Arial;Helvetica;sans-serif" w:hAnsi="Arial;Helvetica;sans-serif"/>
        <w:color w:val="222222"/>
        <w:sz w:val="18"/>
        <w:szCs w:val="18"/>
        <w:vertAlign w:val="superscript"/>
      </w:rPr>
      <w:t xml:space="preserve">1 </w:t>
    </w:r>
    <w:r>
      <w:rPr>
        <w:rFonts w:ascii="Arial;Helvetica;sans-serif" w:hAnsi="Arial;Helvetica;sans-serif"/>
        <w:color w:val="222222"/>
        <w:sz w:val="18"/>
        <w:szCs w:val="18"/>
      </w:rPr>
      <w:t>Cláudio Gomes Barbosa é graduado em Educação Física (UFU), Mestre e Doutor em Desenvolvimento Humano e Tecnologias com ênfase em Psicologia do Esporte/Gestão Esportiva pela Universidade Estadual Paulista (UNESP). Atua desde 2008 como Técnico em Desporto (UFU) e realizou colaboração técnica na UFMG. Foi Diretor de Qualidade de Vida do Estudante (UFU). Atualmente é membro da Comissão Permanente de Esporte da Universidade Federal de Minas Gerais (UFMG).  </w:t>
    </w:r>
    <w:r>
      <w:rPr>
        <w:sz w:val="18"/>
        <w:szCs w:val="18"/>
      </w:rPr>
      <w:t xml:space="preserve"> </w:t>
    </w:r>
  </w:p>
  <w:p w:rsidR="00E8006B" w:rsidRDefault="00E8006B">
    <w:pPr>
      <w:pStyle w:val="Rodap"/>
      <w:jc w:val="both"/>
      <w:rPr>
        <w:sz w:val="18"/>
        <w:szCs w:val="18"/>
      </w:rPr>
    </w:pPr>
  </w:p>
  <w:p w:rsidR="00E8006B" w:rsidRDefault="009B70C8">
    <w:pPr>
      <w:pStyle w:val="Rodap"/>
      <w:jc w:val="both"/>
      <w:rPr>
        <w:sz w:val="18"/>
        <w:szCs w:val="18"/>
      </w:rPr>
    </w:pPr>
    <w:proofErr w:type="gramStart"/>
    <w:r>
      <w:rPr>
        <w:sz w:val="18"/>
        <w:szCs w:val="18"/>
        <w:vertAlign w:val="superscript"/>
      </w:rPr>
      <w:t>2</w:t>
    </w:r>
    <w:r>
      <w:rPr>
        <w:sz w:val="18"/>
        <w:szCs w:val="18"/>
      </w:rPr>
      <w:t xml:space="preserve">  </w:t>
    </w:r>
    <w:r>
      <w:rPr>
        <w:rFonts w:ascii="Arial;Helvetica;sans-serif" w:hAnsi="Arial;Helvetica;sans-serif"/>
        <w:color w:val="222222"/>
        <w:sz w:val="18"/>
        <w:szCs w:val="18"/>
      </w:rPr>
      <w:t>Cleber</w:t>
    </w:r>
    <w:proofErr w:type="gramEnd"/>
    <w:r>
      <w:rPr>
        <w:rFonts w:ascii="Arial;Helvetica;sans-serif" w:hAnsi="Arial;Helvetica;sans-serif"/>
        <w:color w:val="222222"/>
        <w:sz w:val="18"/>
        <w:szCs w:val="18"/>
      </w:rPr>
      <w:t xml:space="preserve"> Dias é professor da Universidade Federal de Minas Gerais (UFMG), onde realiza pesquisas sobre a cultura e a economia política dos </w:t>
    </w:r>
    <w:proofErr w:type="spellStart"/>
    <w:r>
      <w:rPr>
        <w:rFonts w:ascii="Arial;Helvetica;sans-serif" w:hAnsi="Arial;Helvetica;sans-serif"/>
        <w:color w:val="222222"/>
        <w:sz w:val="18"/>
        <w:szCs w:val="18"/>
      </w:rPr>
      <w:t>esportes.Conta</w:t>
    </w:r>
    <w:proofErr w:type="spellEnd"/>
    <w:r>
      <w:rPr>
        <w:rFonts w:ascii="Arial;Helvetica;sans-serif" w:hAnsi="Arial;Helvetica;sans-serif"/>
        <w:color w:val="222222"/>
        <w:sz w:val="18"/>
        <w:szCs w:val="18"/>
      </w:rPr>
      <w:t xml:space="preserve"> com vasta produção científica sobre o assunto, incluindo mais de 80 artigos em periódicos nacionais e internacionais e mais de 10 livros, entre os quais "Deporte, </w:t>
    </w:r>
    <w:proofErr w:type="spellStart"/>
    <w:r>
      <w:rPr>
        <w:rFonts w:ascii="Arial;Helvetica;sans-serif" w:hAnsi="Arial;Helvetica;sans-serif"/>
        <w:color w:val="222222"/>
        <w:sz w:val="18"/>
        <w:szCs w:val="18"/>
      </w:rPr>
      <w:t>ocio</w:t>
    </w:r>
    <w:proofErr w:type="spellEnd"/>
    <w:r>
      <w:rPr>
        <w:rFonts w:ascii="Arial;Helvetica;sans-serif" w:hAnsi="Arial;Helvetica;sans-serif"/>
        <w:color w:val="222222"/>
        <w:sz w:val="18"/>
        <w:szCs w:val="18"/>
      </w:rPr>
      <w:t xml:space="preserve"> y </w:t>
    </w:r>
    <w:proofErr w:type="spellStart"/>
    <w:r>
      <w:rPr>
        <w:rFonts w:ascii="Arial;Helvetica;sans-serif" w:hAnsi="Arial;Helvetica;sans-serif"/>
        <w:color w:val="222222"/>
        <w:sz w:val="18"/>
        <w:szCs w:val="18"/>
      </w:rPr>
      <w:t>nacionalización</w:t>
    </w:r>
    <w:proofErr w:type="spellEnd"/>
    <w:r>
      <w:rPr>
        <w:rFonts w:ascii="Arial;Helvetica;sans-serif" w:hAnsi="Arial;Helvetica;sans-serif"/>
        <w:color w:val="222222"/>
        <w:sz w:val="18"/>
        <w:szCs w:val="18"/>
      </w:rPr>
      <w:t xml:space="preserve"> </w:t>
    </w:r>
    <w:proofErr w:type="spellStart"/>
    <w:r>
      <w:rPr>
        <w:rFonts w:ascii="Arial;Helvetica;sans-serif" w:hAnsi="Arial;Helvetica;sans-serif"/>
        <w:color w:val="222222"/>
        <w:sz w:val="18"/>
        <w:szCs w:val="18"/>
      </w:rPr>
      <w:t>en</w:t>
    </w:r>
    <w:proofErr w:type="spellEnd"/>
    <w:r>
      <w:rPr>
        <w:rFonts w:ascii="Arial;Helvetica;sans-serif" w:hAnsi="Arial;Helvetica;sans-serif"/>
        <w:color w:val="222222"/>
        <w:sz w:val="18"/>
        <w:szCs w:val="18"/>
      </w:rPr>
      <w:t xml:space="preserve"> Brasil y </w:t>
    </w:r>
    <w:proofErr w:type="spellStart"/>
    <w:r>
      <w:rPr>
        <w:rFonts w:ascii="Arial;Helvetica;sans-serif" w:hAnsi="Arial;Helvetica;sans-serif"/>
        <w:color w:val="222222"/>
        <w:sz w:val="18"/>
        <w:szCs w:val="18"/>
      </w:rPr>
      <w:t>España</w:t>
    </w:r>
    <w:proofErr w:type="spellEnd"/>
    <w:r>
      <w:rPr>
        <w:rFonts w:ascii="Arial;Helvetica;sans-serif" w:hAnsi="Arial;Helvetica;sans-serif"/>
        <w:color w:val="222222"/>
        <w:sz w:val="18"/>
        <w:szCs w:val="18"/>
      </w:rPr>
      <w:t xml:space="preserve">" (Editora </w:t>
    </w:r>
    <w:proofErr w:type="spellStart"/>
    <w:r>
      <w:rPr>
        <w:rFonts w:ascii="Arial;Helvetica;sans-serif" w:hAnsi="Arial;Helvetica;sans-serif"/>
        <w:color w:val="222222"/>
        <w:sz w:val="18"/>
        <w:szCs w:val="18"/>
      </w:rPr>
      <w:t>Silex</w:t>
    </w:r>
    <w:proofErr w:type="spellEnd"/>
    <w:r>
      <w:rPr>
        <w:rFonts w:ascii="Arial;Helvetica;sans-serif" w:hAnsi="Arial;Helvetica;sans-serif"/>
        <w:color w:val="222222"/>
        <w:sz w:val="18"/>
        <w:szCs w:val="18"/>
      </w:rPr>
      <w:t>, 2024).</w:t>
    </w:r>
    <w:r>
      <w:rPr>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6B" w:rsidRDefault="009B70C8">
    <w:pPr>
      <w:pStyle w:val="Rodap"/>
      <w:jc w:val="both"/>
      <w:rPr>
        <w:sz w:val="18"/>
        <w:szCs w:val="18"/>
      </w:rPr>
    </w:pPr>
    <w:r>
      <w:rPr>
        <w:rFonts w:ascii="Arial;Helvetica;sans-serif" w:hAnsi="Arial;Helvetica;sans-serif"/>
        <w:color w:val="222222"/>
        <w:sz w:val="18"/>
        <w:szCs w:val="18"/>
        <w:vertAlign w:val="superscript"/>
      </w:rPr>
      <w:t xml:space="preserve">1 </w:t>
    </w:r>
    <w:r>
      <w:rPr>
        <w:rFonts w:ascii="Arial;Helvetica;sans-serif" w:hAnsi="Arial;Helvetica;sans-serif"/>
        <w:color w:val="222222"/>
        <w:sz w:val="18"/>
        <w:szCs w:val="18"/>
      </w:rPr>
      <w:t>Cláudio Gomes Barbosa é graduado em Educação Física (UFU), Mestre e Doutor em Desenvolvimento Humano e Tecnologias com ênfase em Psicologia do Esporte/Gestão Esportiva pela Universidade Estadual Paulista (UNESP). Atua desde 2008 como Técnico em Desporto (UFU) e realizou colaboração técnica na UFMG. Foi Diretor de Qualidade de Vida do Estudante (UFU). Atualmente é membro da Comissão Permanente de Esporte da Universidade Federal de Minas Gerais (UFMG).  </w:t>
    </w:r>
    <w:r>
      <w:rPr>
        <w:sz w:val="18"/>
        <w:szCs w:val="18"/>
      </w:rPr>
      <w:t xml:space="preserve"> </w:t>
    </w:r>
  </w:p>
  <w:p w:rsidR="00E8006B" w:rsidRDefault="00E8006B">
    <w:pPr>
      <w:pStyle w:val="Rodap"/>
      <w:jc w:val="both"/>
      <w:rPr>
        <w:sz w:val="18"/>
        <w:szCs w:val="18"/>
      </w:rPr>
    </w:pPr>
  </w:p>
  <w:p w:rsidR="00E8006B" w:rsidRDefault="009B70C8">
    <w:pPr>
      <w:pStyle w:val="Rodap"/>
      <w:jc w:val="both"/>
      <w:rPr>
        <w:sz w:val="18"/>
        <w:szCs w:val="18"/>
      </w:rPr>
    </w:pPr>
    <w:proofErr w:type="gramStart"/>
    <w:r>
      <w:rPr>
        <w:sz w:val="18"/>
        <w:szCs w:val="18"/>
        <w:vertAlign w:val="superscript"/>
      </w:rPr>
      <w:t>2</w:t>
    </w:r>
    <w:r>
      <w:rPr>
        <w:sz w:val="18"/>
        <w:szCs w:val="18"/>
      </w:rPr>
      <w:t xml:space="preserve">  </w:t>
    </w:r>
    <w:r>
      <w:rPr>
        <w:rFonts w:ascii="Arial;Helvetica;sans-serif" w:hAnsi="Arial;Helvetica;sans-serif"/>
        <w:color w:val="222222"/>
        <w:sz w:val="18"/>
        <w:szCs w:val="18"/>
      </w:rPr>
      <w:t>Cleber</w:t>
    </w:r>
    <w:proofErr w:type="gramEnd"/>
    <w:r>
      <w:rPr>
        <w:rFonts w:ascii="Arial;Helvetica;sans-serif" w:hAnsi="Arial;Helvetica;sans-serif"/>
        <w:color w:val="222222"/>
        <w:sz w:val="18"/>
        <w:szCs w:val="18"/>
      </w:rPr>
      <w:t xml:space="preserve"> Dias é professor da Universidade Federal de Minas Gerais (UFMG), onde realiza pesquisas sobre a cultura e a economia política dos </w:t>
    </w:r>
    <w:proofErr w:type="spellStart"/>
    <w:r>
      <w:rPr>
        <w:rFonts w:ascii="Arial;Helvetica;sans-serif" w:hAnsi="Arial;Helvetica;sans-serif"/>
        <w:color w:val="222222"/>
        <w:sz w:val="18"/>
        <w:szCs w:val="18"/>
      </w:rPr>
      <w:t>esportes.Conta</w:t>
    </w:r>
    <w:proofErr w:type="spellEnd"/>
    <w:r>
      <w:rPr>
        <w:rFonts w:ascii="Arial;Helvetica;sans-serif" w:hAnsi="Arial;Helvetica;sans-serif"/>
        <w:color w:val="222222"/>
        <w:sz w:val="18"/>
        <w:szCs w:val="18"/>
      </w:rPr>
      <w:t xml:space="preserve"> com vasta produção científica sobre o assunto, incluindo mais de 80 artigos em periódicos nacionais e internacionais e mais de 10 livros, entre os quais "Deporte, </w:t>
    </w:r>
    <w:proofErr w:type="spellStart"/>
    <w:r>
      <w:rPr>
        <w:rFonts w:ascii="Arial;Helvetica;sans-serif" w:hAnsi="Arial;Helvetica;sans-serif"/>
        <w:color w:val="222222"/>
        <w:sz w:val="18"/>
        <w:szCs w:val="18"/>
      </w:rPr>
      <w:t>ocio</w:t>
    </w:r>
    <w:proofErr w:type="spellEnd"/>
    <w:r>
      <w:rPr>
        <w:rFonts w:ascii="Arial;Helvetica;sans-serif" w:hAnsi="Arial;Helvetica;sans-serif"/>
        <w:color w:val="222222"/>
        <w:sz w:val="18"/>
        <w:szCs w:val="18"/>
      </w:rPr>
      <w:t xml:space="preserve"> y </w:t>
    </w:r>
    <w:proofErr w:type="spellStart"/>
    <w:r>
      <w:rPr>
        <w:rFonts w:ascii="Arial;Helvetica;sans-serif" w:hAnsi="Arial;Helvetica;sans-serif"/>
        <w:color w:val="222222"/>
        <w:sz w:val="18"/>
        <w:szCs w:val="18"/>
      </w:rPr>
      <w:t>nacionalización</w:t>
    </w:r>
    <w:proofErr w:type="spellEnd"/>
    <w:r>
      <w:rPr>
        <w:rFonts w:ascii="Arial;Helvetica;sans-serif" w:hAnsi="Arial;Helvetica;sans-serif"/>
        <w:color w:val="222222"/>
        <w:sz w:val="18"/>
        <w:szCs w:val="18"/>
      </w:rPr>
      <w:t xml:space="preserve"> </w:t>
    </w:r>
    <w:proofErr w:type="spellStart"/>
    <w:r>
      <w:rPr>
        <w:rFonts w:ascii="Arial;Helvetica;sans-serif" w:hAnsi="Arial;Helvetica;sans-serif"/>
        <w:color w:val="222222"/>
        <w:sz w:val="18"/>
        <w:szCs w:val="18"/>
      </w:rPr>
      <w:t>en</w:t>
    </w:r>
    <w:proofErr w:type="spellEnd"/>
    <w:r>
      <w:rPr>
        <w:rFonts w:ascii="Arial;Helvetica;sans-serif" w:hAnsi="Arial;Helvetica;sans-serif"/>
        <w:color w:val="222222"/>
        <w:sz w:val="18"/>
        <w:szCs w:val="18"/>
      </w:rPr>
      <w:t xml:space="preserve"> Brasil y </w:t>
    </w:r>
    <w:proofErr w:type="spellStart"/>
    <w:r>
      <w:rPr>
        <w:rFonts w:ascii="Arial;Helvetica;sans-serif" w:hAnsi="Arial;Helvetica;sans-serif"/>
        <w:color w:val="222222"/>
        <w:sz w:val="18"/>
        <w:szCs w:val="18"/>
      </w:rPr>
      <w:t>España</w:t>
    </w:r>
    <w:proofErr w:type="spellEnd"/>
    <w:r>
      <w:rPr>
        <w:rFonts w:ascii="Arial;Helvetica;sans-serif" w:hAnsi="Arial;Helvetica;sans-serif"/>
        <w:color w:val="222222"/>
        <w:sz w:val="18"/>
        <w:szCs w:val="18"/>
      </w:rPr>
      <w:t xml:space="preserve">" (Editora </w:t>
    </w:r>
    <w:proofErr w:type="spellStart"/>
    <w:r>
      <w:rPr>
        <w:rFonts w:ascii="Arial;Helvetica;sans-serif" w:hAnsi="Arial;Helvetica;sans-serif"/>
        <w:color w:val="222222"/>
        <w:sz w:val="18"/>
        <w:szCs w:val="18"/>
      </w:rPr>
      <w:t>Silex</w:t>
    </w:r>
    <w:proofErr w:type="spellEnd"/>
    <w:r>
      <w:rPr>
        <w:rFonts w:ascii="Arial;Helvetica;sans-serif" w:hAnsi="Arial;Helvetica;sans-serif"/>
        <w:color w:val="222222"/>
        <w:sz w:val="18"/>
        <w:szCs w:val="18"/>
      </w:rPr>
      <w:t>, 2024).</w:t>
    </w:r>
    <w:r>
      <w:rPr>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6B" w:rsidRDefault="00E8006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6B" w:rsidRDefault="00E8006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006B" w:rsidRDefault="00E800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2DA8" w:rsidRDefault="009B70C8">
      <w:r>
        <w:separator/>
      </w:r>
    </w:p>
  </w:footnote>
  <w:footnote w:type="continuationSeparator" w:id="0">
    <w:p w:rsidR="00572DA8" w:rsidRDefault="009B70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06B"/>
    <w:rsid w:val="00572DA8"/>
    <w:rsid w:val="008E74B3"/>
    <w:rsid w:val="009B70C8"/>
    <w:rsid w:val="00E8006B"/>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E9C69A-0E78-496E-8C2D-DBF7A8DF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pt-BR" w:eastAsia="pt-BR"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4B3"/>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InternetLink">
    <w:name w:val="Internet Link"/>
    <w:uiPriority w:val="99"/>
    <w:unhideWhenUsed/>
    <w:qFormat/>
    <w:rPr>
      <w:color w:val="0563C1"/>
      <w:u w:val="single"/>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customStyle="1" w:styleId="FootnoteCharacters">
    <w:name w:val="Footnote Characters"/>
    <w:qFormat/>
    <w:rPr>
      <w:vertAlign w:val="superscript"/>
    </w:rPr>
  </w:style>
  <w:style w:type="character" w:customStyle="1" w:styleId="FootnoteCharacters1">
    <w:name w:val="Footnote Characters1"/>
    <w:qFormat/>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Caracteresdenotadefim">
    <w:name w:val="Caracteres de nota de fim"/>
    <w:qFormat/>
    <w:rPr>
      <w:vertAlign w:val="superscript"/>
    </w:rPr>
  </w:style>
  <w:style w:type="character" w:styleId="Refdenotadefim">
    <w:name w:val="endnote reference"/>
    <w:rPr>
      <w:vertAlign w:val="superscript"/>
    </w:rPr>
  </w:style>
  <w:style w:type="character" w:customStyle="1" w:styleId="EndnoteCharacters">
    <w:name w:val="Endnote Characters"/>
    <w:qFormat/>
    <w:rPr>
      <w:vertAlign w:val="superscript"/>
    </w:rPr>
  </w:style>
  <w:style w:type="character" w:customStyle="1" w:styleId="EndnoteCharacters1">
    <w:name w:val="Endnote Characters1"/>
    <w:qFormat/>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InternetLink1">
    <w:name w:val="Internet Link1"/>
    <w:qFormat/>
    <w:rPr>
      <w:color w:val="000080"/>
      <w:u w:val="single"/>
    </w:rPr>
  </w:style>
  <w:style w:type="character" w:styleId="Hyperlink">
    <w:name w:val="Hyperlink"/>
    <w:rPr>
      <w:color w:val="000080"/>
      <w:u w:val="single"/>
    </w:rPr>
  </w:style>
  <w:style w:type="paragraph" w:customStyle="1" w:styleId="Ttulo10">
    <w:name w:val="Título1"/>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styleId="Ttulo">
    <w:name w:val="Title"/>
    <w:next w:val="Corpodetexto"/>
    <w:uiPriority w:val="10"/>
    <w:qFormat/>
    <w:rPr>
      <w:sz w:val="56"/>
      <w:szCs w:val="56"/>
    </w:rPr>
  </w:style>
  <w:style w:type="paragraph" w:customStyle="1" w:styleId="Forte1">
    <w:name w:val="Forte1"/>
    <w:qFormat/>
    <w:rPr>
      <w:b/>
      <w:bCs/>
    </w:rPr>
  </w:style>
  <w:style w:type="paragraph" w:styleId="PargrafodaLista">
    <w:name w:val="List Paragraph"/>
    <w:qFormat/>
  </w:style>
  <w:style w:type="paragraph" w:styleId="Textodenotaderodap">
    <w:name w:val="footnote text"/>
    <w:link w:val="TextodenotaderodapChar"/>
    <w:uiPriority w:val="99"/>
    <w:semiHidden/>
    <w:unhideWhenUsed/>
    <w:rPr>
      <w:sz w:val="20"/>
      <w:szCs w:val="20"/>
    </w:rPr>
  </w:style>
  <w:style w:type="paragraph" w:styleId="Textodenotadefim">
    <w:name w:val="endnote text"/>
    <w:link w:val="TextodenotadefimChar"/>
    <w:uiPriority w:val="99"/>
    <w:semiHidden/>
    <w:unhideWhenUsed/>
    <w:rPr>
      <w:sz w:val="20"/>
      <w:szCs w:val="20"/>
    </w:rPr>
  </w:style>
  <w:style w:type="paragraph" w:customStyle="1" w:styleId="Cabealhoerodap">
    <w:name w:val="Cabeçalho e rodapé"/>
    <w:basedOn w:val="Normal"/>
    <w:qFormat/>
    <w:pPr>
      <w:suppressLineNumbers/>
      <w:tabs>
        <w:tab w:val="center" w:pos="4252"/>
        <w:tab w:val="right" w:pos="8504"/>
      </w:tabs>
    </w:pPr>
  </w:style>
  <w:style w:type="paragraph" w:styleId="Rodap">
    <w:name w:val="footer"/>
    <w:basedOn w:val="Cabealhoerodap"/>
  </w:style>
  <w:style w:type="numbering" w:customStyle="1" w:styleId="Semlista1">
    <w:name w:val="Sem lista1"/>
    <w:uiPriority w:val="99"/>
    <w:semiHidden/>
    <w:unhideWhenUsed/>
    <w:qFormat/>
  </w:style>
  <w:style w:type="table" w:styleId="Tabelacomgrade">
    <w:name w:val="Table Grid"/>
    <w:basedOn w:val="Tabelanormal"/>
    <w:uiPriority w:val="39"/>
    <w:rsid w:val="004F6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hart" Target="charts/chart4.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hart" Target="charts/chart3.xml"/><Relationship Id="rId17"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hart" Target="charts/chart2.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yperlink" Target="https://souciencia.unifesp.br/dados-fctesp/orcamento-universidades-federais"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Planilha_do_Microsoft_Excel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Planilha_do_Microsoft_Excel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Planilha_do_Microsoft_Excel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Planilha_do_Microsoft_Excel4.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roundedCorners val="0"/>
  <c:style val="2"/>
  <c:chart>
    <c:autoTitleDeleted val="1"/>
    <c:plotArea>
      <c:layout/>
      <c:barChart>
        <c:barDir val="col"/>
        <c:grouping val="clustered"/>
        <c:varyColors val="0"/>
        <c:ser>
          <c:idx val="0"/>
          <c:order val="0"/>
          <c:tx>
            <c:strRef>
              <c:f>label 0</c:f>
              <c:strCache>
                <c:ptCount val="1"/>
                <c:pt idx="0">
                  <c:v>Coluna1</c:v>
                </c:pt>
              </c:strCache>
            </c:strRef>
          </c:tx>
          <c:spPr>
            <a:solidFill>
              <a:srgbClr val="4472C4"/>
            </a:solidFill>
            <a:ln w="0">
              <a:noFill/>
            </a:ln>
          </c:spPr>
          <c:invertIfNegative val="0"/>
          <c:dPt>
            <c:idx val="0"/>
            <c:invertIfNegative val="0"/>
            <c:bubble3D val="0"/>
            <c:spPr>
              <a:solidFill>
                <a:srgbClr val="203864"/>
              </a:solidFill>
              <a:ln w="0">
                <a:noFill/>
              </a:ln>
            </c:spPr>
          </c:dPt>
          <c:dPt>
            <c:idx val="1"/>
            <c:invertIfNegative val="0"/>
            <c:bubble3D val="0"/>
            <c:spPr>
              <a:solidFill>
                <a:srgbClr val="2F5597"/>
              </a:solidFill>
              <a:ln w="0">
                <a:noFill/>
              </a:ln>
            </c:spPr>
          </c:dPt>
          <c:dPt>
            <c:idx val="2"/>
            <c:invertIfNegative val="0"/>
            <c:bubble3D val="0"/>
            <c:spPr>
              <a:solidFill>
                <a:srgbClr val="8FAADC"/>
              </a:solidFill>
              <a:ln w="0">
                <a:noFill/>
              </a:ln>
            </c:spPr>
          </c:dPt>
          <c:dPt>
            <c:idx val="3"/>
            <c:invertIfNegative val="0"/>
            <c:bubble3D val="0"/>
            <c:spPr>
              <a:solidFill>
                <a:srgbClr val="B4C7E7"/>
              </a:solidFill>
              <a:ln w="0">
                <a:noFill/>
              </a:ln>
            </c:spPr>
          </c:dPt>
          <c:dPt>
            <c:idx val="4"/>
            <c:invertIfNegative val="0"/>
            <c:bubble3D val="0"/>
            <c:spPr>
              <a:solidFill>
                <a:srgbClr val="B4C7E7"/>
              </a:solidFill>
              <a:ln w="0">
                <a:noFill/>
              </a:ln>
            </c:spPr>
          </c:dPt>
          <c:dPt>
            <c:idx val="5"/>
            <c:invertIfNegative val="0"/>
            <c:bubble3D val="0"/>
            <c:spPr>
              <a:solidFill>
                <a:srgbClr val="8FAADC"/>
              </a:solidFill>
              <a:ln w="0">
                <a:noFill/>
              </a:ln>
            </c:spPr>
          </c:dPt>
          <c:dLbls>
            <c:dLbl>
              <c:idx val="0"/>
              <c:layout/>
              <c:numFmt formatCode="General" sourceLinked="0"/>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extLst>
                <c:ext xmlns:c15="http://schemas.microsoft.com/office/drawing/2012/chart" uri="{CE6537A1-D6FC-4f65-9D91-7224C49458BB}">
                  <c15:layout/>
                </c:ext>
              </c:extLst>
            </c:dLbl>
            <c:dLbl>
              <c:idx val="1"/>
              <c:layout/>
              <c:numFmt formatCode="General" sourceLinked="0"/>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extLst>
                <c:ext xmlns:c15="http://schemas.microsoft.com/office/drawing/2012/chart" uri="{CE6537A1-D6FC-4f65-9D91-7224C49458BB}">
                  <c15:layout/>
                </c:ext>
              </c:extLst>
            </c:dLbl>
            <c:dLbl>
              <c:idx val="2"/>
              <c:layout/>
              <c:numFmt formatCode="General" sourceLinked="0"/>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extLst>
                <c:ext xmlns:c15="http://schemas.microsoft.com/office/drawing/2012/chart" uri="{CE6537A1-D6FC-4f65-9D91-7224C49458BB}">
                  <c15:layout/>
                </c:ext>
              </c:extLst>
            </c:dLbl>
            <c:dLbl>
              <c:idx val="3"/>
              <c:layout/>
              <c:numFmt formatCode="General" sourceLinked="0"/>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extLst>
                <c:ext xmlns:c15="http://schemas.microsoft.com/office/drawing/2012/chart" uri="{CE6537A1-D6FC-4f65-9D91-7224C49458BB}">
                  <c15:layout/>
                </c:ext>
              </c:extLst>
            </c:dLbl>
            <c:dLbl>
              <c:idx val="4"/>
              <c:layout/>
              <c:numFmt formatCode="General" sourceLinked="0"/>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extLst>
                <c:ext xmlns:c15="http://schemas.microsoft.com/office/drawing/2012/chart" uri="{CE6537A1-D6FC-4f65-9D91-7224C49458BB}">
                  <c15:layout/>
                </c:ext>
              </c:extLst>
            </c:dLbl>
            <c:dLbl>
              <c:idx val="5"/>
              <c:layout/>
              <c:numFmt formatCode="General" sourceLinked="0"/>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extLst>
                <c:ext xmlns:c15="http://schemas.microsoft.com/office/drawing/2012/chart" uri="{CE6537A1-D6FC-4f65-9D91-7224C49458BB}">
                  <c15:layout/>
                </c:ext>
              </c:extLst>
            </c:dLbl>
            <c:numFmt formatCode="General" sourceLinked="0"/>
            <c:spPr>
              <a:noFill/>
              <a:ln>
                <a:noFill/>
              </a:ln>
              <a:effectLst/>
            </c:spPr>
            <c:txPr>
              <a:bodyPr wrap="square"/>
              <a:lstStyle/>
              <a:p>
                <a:pPr>
                  <a:defRPr sz="900" b="0" u="none" strike="noStrike">
                    <a:solidFill>
                      <a:srgbClr val="404040"/>
                    </a:solidFill>
                    <a:uFillTx/>
                    <a:latin typeface="Calibri"/>
                  </a:defRPr>
                </a:pPr>
                <a:endParaRPr lang="pt-BR"/>
              </a:p>
            </c:txPr>
            <c:dLblPos val="outEnd"/>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6"/>
                <c:pt idx="0">
                  <c:v>Assistência Estudantil</c:v>
                </c:pt>
                <c:pt idx="1">
                  <c:v>Extensão</c:v>
                </c:pt>
                <c:pt idx="2">
                  <c:v>Gabinete da Reitoria</c:v>
                </c:pt>
                <c:pt idx="3">
                  <c:v>Órgão Suplementar</c:v>
                </c:pt>
                <c:pt idx="4">
                  <c:v>Assuntos Comunitários</c:v>
                </c:pt>
                <c:pt idx="5">
                  <c:v>Outros / Nenhum</c:v>
                </c:pt>
              </c:strCache>
            </c:strRef>
          </c:cat>
          <c:val>
            <c:numRef>
              <c:f>0</c:f>
              <c:numCache>
                <c:formatCode>General</c:formatCode>
                <c:ptCount val="6"/>
                <c:pt idx="0">
                  <c:v>18</c:v>
                </c:pt>
                <c:pt idx="1">
                  <c:v>9</c:v>
                </c:pt>
                <c:pt idx="2">
                  <c:v>5</c:v>
                </c:pt>
                <c:pt idx="3">
                  <c:v>2</c:v>
                </c:pt>
                <c:pt idx="4">
                  <c:v>2</c:v>
                </c:pt>
                <c:pt idx="5">
                  <c:v>5</c:v>
                </c:pt>
              </c:numCache>
            </c:numRef>
          </c:val>
        </c:ser>
        <c:dLbls>
          <c:showLegendKey val="0"/>
          <c:showVal val="0"/>
          <c:showCatName val="0"/>
          <c:showSerName val="0"/>
          <c:showPercent val="0"/>
          <c:showBubbleSize val="0"/>
        </c:dLbls>
        <c:gapWidth val="219"/>
        <c:overlap val="-27"/>
        <c:axId val="379179032"/>
        <c:axId val="379180208"/>
      </c:barChart>
      <c:catAx>
        <c:axId val="379179032"/>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1100" b="0" u="none" strike="noStrike">
                <a:solidFill>
                  <a:srgbClr val="000000"/>
                </a:solidFill>
                <a:uFillTx/>
                <a:latin typeface="Calibri"/>
              </a:defRPr>
            </a:pPr>
            <a:endParaRPr lang="pt-BR"/>
          </a:p>
        </c:txPr>
        <c:crossAx val="379180208"/>
        <c:crosses val="autoZero"/>
        <c:auto val="1"/>
        <c:lblAlgn val="ctr"/>
        <c:lblOffset val="100"/>
        <c:noMultiLvlLbl val="0"/>
      </c:catAx>
      <c:valAx>
        <c:axId val="379180208"/>
        <c:scaling>
          <c:orientation val="minMax"/>
        </c:scaling>
        <c:delete val="1"/>
        <c:axPos val="l"/>
        <c:majorGridlines>
          <c:spPr>
            <a:ln w="9360">
              <a:solidFill>
                <a:srgbClr val="D9D9D9"/>
              </a:solidFill>
              <a:round/>
            </a:ln>
          </c:spPr>
        </c:majorGridlines>
        <c:numFmt formatCode="General" sourceLinked="1"/>
        <c:majorTickMark val="none"/>
        <c:minorTickMark val="none"/>
        <c:tickLblPos val="nextTo"/>
        <c:crossAx val="379179032"/>
        <c:crosses val="autoZero"/>
        <c:crossBetween val="between"/>
        <c:majorUnit val="5"/>
        <c:minorUnit val="0.5"/>
      </c:valAx>
      <c:spPr>
        <a:noFill/>
        <a:ln w="0">
          <a:noFill/>
        </a:ln>
      </c:spPr>
    </c:plotArea>
    <c:plotVisOnly val="1"/>
    <c:dispBlanksAs val="gap"/>
    <c:showDLblsOverMax val="1"/>
  </c:chart>
  <c:spPr>
    <a:solidFill>
      <a:srgbClr val="FFFFFF"/>
    </a:solidFill>
    <a:ln w="9360">
      <a:solidFill>
        <a:srgbClr val="808080"/>
      </a:solidFill>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pt-BR"/>
  <c:roundedCorners val="0"/>
  <c:style val="2"/>
  <c:chart>
    <c:autoTitleDeleted val="1"/>
    <c:plotArea>
      <c:layout/>
      <c:barChart>
        <c:barDir val="col"/>
        <c:grouping val="clustered"/>
        <c:varyColors val="0"/>
        <c:ser>
          <c:idx val="0"/>
          <c:order val="0"/>
          <c:tx>
            <c:strRef>
              <c:f>label 0</c:f>
              <c:strCache>
                <c:ptCount val="1"/>
                <c:pt idx="0">
                  <c:v>Sem orçamento</c:v>
                </c:pt>
              </c:strCache>
            </c:strRef>
          </c:tx>
          <c:spPr>
            <a:solidFill>
              <a:srgbClr val="2F5597"/>
            </a:solidFill>
            <a:ln w="0">
              <a:noFill/>
            </a:ln>
          </c:spPr>
          <c:invertIfNegative val="0"/>
          <c:dPt>
            <c:idx val="0"/>
            <c:invertIfNegative val="0"/>
            <c:bubble3D val="0"/>
            <c:spPr>
              <a:solidFill>
                <a:srgbClr val="B4C7E7"/>
              </a:solidFill>
              <a:ln w="0">
                <a:noFill/>
              </a:ln>
            </c:spPr>
          </c:dPt>
          <c:dPt>
            <c:idx val="1"/>
            <c:invertIfNegative val="0"/>
            <c:bubble3D val="0"/>
            <c:spPr>
              <a:solidFill>
                <a:srgbClr val="203864"/>
              </a:solidFill>
              <a:ln w="0">
                <a:noFill/>
              </a:ln>
            </c:spPr>
          </c:dPt>
          <c:dLbls>
            <c:dLbl>
              <c:idx val="0"/>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dLbl>
              <c:idx val="1"/>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spPr>
              <a:noFill/>
              <a:ln>
                <a:noFill/>
              </a:ln>
              <a:effectLst/>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
                <c:pt idx="0">
                  <c:v>Com setor</c:v>
                </c:pt>
                <c:pt idx="1">
                  <c:v>Sem setor</c:v>
                </c:pt>
              </c:strCache>
            </c:strRef>
          </c:cat>
          <c:val>
            <c:numRef>
              <c:f>0</c:f>
              <c:numCache>
                <c:formatCode>General</c:formatCode>
                <c:ptCount val="2"/>
                <c:pt idx="0">
                  <c:v>20</c:v>
                </c:pt>
                <c:pt idx="1">
                  <c:v>70</c:v>
                </c:pt>
              </c:numCache>
            </c:numRef>
          </c:val>
        </c:ser>
        <c:dLbls>
          <c:showLegendKey val="0"/>
          <c:showVal val="0"/>
          <c:showCatName val="0"/>
          <c:showSerName val="0"/>
          <c:showPercent val="0"/>
          <c:showBubbleSize val="0"/>
        </c:dLbls>
        <c:gapWidth val="219"/>
        <c:overlap val="-27"/>
        <c:axId val="379180600"/>
        <c:axId val="379177464"/>
      </c:barChart>
      <c:catAx>
        <c:axId val="379180600"/>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1100" b="0" u="none" strike="noStrike">
                <a:solidFill>
                  <a:srgbClr val="000000"/>
                </a:solidFill>
                <a:uFillTx/>
                <a:latin typeface="Calibri"/>
              </a:defRPr>
            </a:pPr>
            <a:endParaRPr lang="pt-BR"/>
          </a:p>
        </c:txPr>
        <c:crossAx val="379177464"/>
        <c:crosses val="autoZero"/>
        <c:auto val="1"/>
        <c:lblAlgn val="ctr"/>
        <c:lblOffset val="100"/>
        <c:noMultiLvlLbl val="0"/>
      </c:catAx>
      <c:valAx>
        <c:axId val="379177464"/>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sz="1000" b="0" u="none" strike="noStrike">
                <a:solidFill>
                  <a:srgbClr val="000000"/>
                </a:solidFill>
                <a:uFillTx/>
                <a:latin typeface="Calibri"/>
              </a:defRPr>
            </a:pPr>
            <a:endParaRPr lang="pt-BR"/>
          </a:p>
        </c:txPr>
        <c:crossAx val="379180600"/>
        <c:crosses val="autoZero"/>
        <c:crossBetween val="between"/>
      </c:valAx>
      <c:spPr>
        <a:noFill/>
        <a:ln w="0">
          <a:noFill/>
        </a:ln>
      </c:spPr>
    </c:plotArea>
    <c:plotVisOnly val="1"/>
    <c:dispBlanksAs val="gap"/>
    <c:showDLblsOverMax val="1"/>
  </c:chart>
  <c:spPr>
    <a:solidFill>
      <a:srgbClr val="FFFFFF"/>
    </a:solidFill>
    <a:ln w="9360">
      <a:solidFill>
        <a:srgbClr val="D9D9D9"/>
      </a:solidFill>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pt-BR"/>
  <c:roundedCorners val="0"/>
  <c:style val="2"/>
  <c:chart>
    <c:autoTitleDeleted val="1"/>
    <c:plotArea>
      <c:layout/>
      <c:barChart>
        <c:barDir val="col"/>
        <c:grouping val="stacked"/>
        <c:varyColors val="0"/>
        <c:ser>
          <c:idx val="0"/>
          <c:order val="0"/>
          <c:tx>
            <c:strRef>
              <c:f>label 0</c:f>
              <c:strCache>
                <c:ptCount val="1"/>
                <c:pt idx="0">
                  <c:v>Sem orçamento</c:v>
                </c:pt>
              </c:strCache>
            </c:strRef>
          </c:tx>
          <c:spPr>
            <a:solidFill>
              <a:srgbClr val="DAE3F3"/>
            </a:solidFill>
            <a:ln w="0">
              <a:noFill/>
            </a:ln>
          </c:spPr>
          <c:invertIfNegative val="0"/>
          <c:dLbls>
            <c:numFmt formatCode="0" sourceLinked="0"/>
            <c:spPr>
              <a:noFill/>
              <a:ln>
                <a:noFill/>
              </a:ln>
              <a:effectLst/>
            </c:spPr>
            <c:txPr>
              <a:bodyPr wrap="square"/>
              <a:lstStyle/>
              <a:p>
                <a:pPr>
                  <a:defRPr sz="900" b="0" u="none" strike="noStrike">
                    <a:solidFill>
                      <a:srgbClr val="404040"/>
                    </a:solidFill>
                    <a:uFillTx/>
                    <a:latin typeface="Calibri"/>
                  </a:defRPr>
                </a:pPr>
                <a:endParaRPr lang="pt-BR"/>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strRef>
              <c:f>categories</c:f>
              <c:strCache>
                <c:ptCount val="2"/>
                <c:pt idx="0">
                  <c:v>Sem setor</c:v>
                </c:pt>
                <c:pt idx="1">
                  <c:v>Com setor</c:v>
                </c:pt>
              </c:strCache>
            </c:strRef>
          </c:cat>
          <c:val>
            <c:numRef>
              <c:f>0</c:f>
              <c:numCache>
                <c:formatCode>General</c:formatCode>
                <c:ptCount val="2"/>
                <c:pt idx="0">
                  <c:v>69.3</c:v>
                </c:pt>
                <c:pt idx="1">
                  <c:v>19.5</c:v>
                </c:pt>
              </c:numCache>
            </c:numRef>
          </c:val>
        </c:ser>
        <c:ser>
          <c:idx val="1"/>
          <c:order val="1"/>
          <c:tx>
            <c:strRef>
              <c:f>label 1</c:f>
              <c:strCache>
                <c:ptCount val="1"/>
                <c:pt idx="0">
                  <c:v>&lt;100K</c:v>
                </c:pt>
              </c:strCache>
            </c:strRef>
          </c:tx>
          <c:spPr>
            <a:solidFill>
              <a:srgbClr val="8FAADC"/>
            </a:solidFill>
            <a:ln w="0">
              <a:noFill/>
            </a:ln>
          </c:spPr>
          <c:invertIfNegative val="0"/>
          <c:dLbls>
            <c:numFmt formatCode="0" sourceLinked="0"/>
            <c:spPr>
              <a:noFill/>
              <a:ln>
                <a:noFill/>
              </a:ln>
              <a:effectLst/>
            </c:spPr>
            <c:txPr>
              <a:bodyPr wrap="square"/>
              <a:lstStyle/>
              <a:p>
                <a:pPr>
                  <a:defRPr sz="900" b="0" u="none" strike="noStrike">
                    <a:solidFill>
                      <a:srgbClr val="FFFFFF"/>
                    </a:solidFill>
                    <a:uFillTx/>
                    <a:latin typeface="Calibri"/>
                  </a:defRPr>
                </a:pPr>
                <a:endParaRPr lang="pt-BR"/>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strRef>
              <c:f>categories</c:f>
              <c:strCache>
                <c:ptCount val="2"/>
                <c:pt idx="0">
                  <c:v>Sem setor</c:v>
                </c:pt>
                <c:pt idx="1">
                  <c:v>Com setor</c:v>
                </c:pt>
              </c:strCache>
            </c:strRef>
          </c:cat>
          <c:val>
            <c:numRef>
              <c:f>1</c:f>
              <c:numCache>
                <c:formatCode>General</c:formatCode>
                <c:ptCount val="2"/>
                <c:pt idx="0">
                  <c:v>15.4</c:v>
                </c:pt>
                <c:pt idx="1">
                  <c:v>46.3</c:v>
                </c:pt>
              </c:numCache>
            </c:numRef>
          </c:val>
        </c:ser>
        <c:ser>
          <c:idx val="2"/>
          <c:order val="2"/>
          <c:tx>
            <c:strRef>
              <c:f>label 2</c:f>
              <c:strCache>
                <c:ptCount val="1"/>
                <c:pt idx="0">
                  <c:v>100-200K</c:v>
                </c:pt>
              </c:strCache>
            </c:strRef>
          </c:tx>
          <c:spPr>
            <a:solidFill>
              <a:srgbClr val="4472C4"/>
            </a:solidFill>
            <a:ln w="0">
              <a:noFill/>
            </a:ln>
          </c:spPr>
          <c:invertIfNegative val="0"/>
          <c:dLbls>
            <c:numFmt formatCode="0" sourceLinked="0"/>
            <c:spPr>
              <a:noFill/>
              <a:ln>
                <a:noFill/>
              </a:ln>
              <a:effectLst/>
            </c:spPr>
            <c:txPr>
              <a:bodyPr wrap="square"/>
              <a:lstStyle/>
              <a:p>
                <a:pPr>
                  <a:defRPr sz="900" b="0" u="none" strike="noStrike">
                    <a:solidFill>
                      <a:srgbClr val="FFFFFF"/>
                    </a:solidFill>
                    <a:uFillTx/>
                    <a:latin typeface="Calibri"/>
                  </a:defRPr>
                </a:pPr>
                <a:endParaRPr lang="pt-BR"/>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strRef>
              <c:f>categories</c:f>
              <c:strCache>
                <c:ptCount val="2"/>
                <c:pt idx="0">
                  <c:v>Sem setor</c:v>
                </c:pt>
                <c:pt idx="1">
                  <c:v>Com setor</c:v>
                </c:pt>
              </c:strCache>
            </c:strRef>
          </c:cat>
          <c:val>
            <c:numRef>
              <c:f>2</c:f>
              <c:numCache>
                <c:formatCode>General</c:formatCode>
                <c:ptCount val="2"/>
                <c:pt idx="0">
                  <c:v>7.7</c:v>
                </c:pt>
                <c:pt idx="1">
                  <c:v>12.2</c:v>
                </c:pt>
              </c:numCache>
            </c:numRef>
          </c:val>
        </c:ser>
        <c:ser>
          <c:idx val="3"/>
          <c:order val="3"/>
          <c:tx>
            <c:strRef>
              <c:f>label 3</c:f>
              <c:strCache>
                <c:ptCount val="1"/>
                <c:pt idx="0">
                  <c:v>200-300K</c:v>
                </c:pt>
              </c:strCache>
            </c:strRef>
          </c:tx>
          <c:spPr>
            <a:solidFill>
              <a:srgbClr val="2F5597"/>
            </a:solidFill>
            <a:ln w="0">
              <a:noFill/>
            </a:ln>
          </c:spPr>
          <c:invertIfNegative val="0"/>
          <c:dPt>
            <c:idx val="0"/>
            <c:invertIfNegative val="0"/>
            <c:bubble3D val="0"/>
          </c:dPt>
          <c:dLbls>
            <c:dLbl>
              <c:idx val="0"/>
              <c:spPr/>
              <c:txPr>
                <a:bodyPr wrap="square"/>
                <a:lstStyle/>
                <a:p>
                  <a:pPr>
                    <a:defRPr sz="900" b="0" u="none" strike="noStrike">
                      <a:solidFill>
                        <a:srgbClr val="FFFFFF"/>
                      </a:solidFill>
                      <a:uFillTx/>
                      <a:latin typeface="Calibri"/>
                    </a:defRPr>
                  </a:pPr>
                  <a:endParaRPr lang="pt-BR"/>
                </a:p>
              </c:txPr>
              <c:dLblPos val="ctr"/>
              <c:showLegendKey val="0"/>
              <c:showVal val="0"/>
              <c:showCatName val="0"/>
              <c:showSerName val="0"/>
              <c:showPercent val="0"/>
              <c:showBubbleSize val="1"/>
              <c:separator>; </c:separator>
              <c:extLst>
                <c:ext xmlns:c15="http://schemas.microsoft.com/office/drawing/2012/chart" uri="{CE6537A1-D6FC-4f65-9D91-7224C49458BB}"/>
              </c:extLst>
            </c:dLbl>
            <c:numFmt formatCode="0" sourceLinked="0"/>
            <c:spPr>
              <a:noFill/>
              <a:ln>
                <a:noFill/>
              </a:ln>
              <a:effectLst/>
            </c:spPr>
            <c:txPr>
              <a:bodyPr wrap="square"/>
              <a:lstStyle/>
              <a:p>
                <a:pPr>
                  <a:defRPr sz="900" b="0" u="none" strike="noStrike">
                    <a:solidFill>
                      <a:srgbClr val="FFFFFF"/>
                    </a:solidFill>
                    <a:uFillTx/>
                    <a:latin typeface="Calibri"/>
                  </a:defRPr>
                </a:pPr>
                <a:endParaRPr lang="pt-BR"/>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strRef>
              <c:f>categories</c:f>
              <c:strCache>
                <c:ptCount val="2"/>
                <c:pt idx="0">
                  <c:v>Sem setor</c:v>
                </c:pt>
                <c:pt idx="1">
                  <c:v>Com setor</c:v>
                </c:pt>
              </c:strCache>
            </c:strRef>
          </c:cat>
          <c:val>
            <c:numRef>
              <c:f>3</c:f>
              <c:numCache>
                <c:formatCode>General</c:formatCode>
                <c:ptCount val="2"/>
                <c:pt idx="0">
                  <c:v>0</c:v>
                </c:pt>
                <c:pt idx="1">
                  <c:v>2.4</c:v>
                </c:pt>
              </c:numCache>
            </c:numRef>
          </c:val>
        </c:ser>
        <c:ser>
          <c:idx val="4"/>
          <c:order val="4"/>
          <c:tx>
            <c:strRef>
              <c:f>label 4</c:f>
              <c:strCache>
                <c:ptCount val="1"/>
                <c:pt idx="0">
                  <c:v>&gt;300K</c:v>
                </c:pt>
              </c:strCache>
            </c:strRef>
          </c:tx>
          <c:spPr>
            <a:solidFill>
              <a:srgbClr val="203864"/>
            </a:solidFill>
            <a:ln w="0">
              <a:noFill/>
            </a:ln>
          </c:spPr>
          <c:invertIfNegative val="0"/>
          <c:dLbls>
            <c:numFmt formatCode="0" sourceLinked="0"/>
            <c:spPr>
              <a:noFill/>
              <a:ln>
                <a:noFill/>
              </a:ln>
              <a:effectLst/>
            </c:spPr>
            <c:txPr>
              <a:bodyPr wrap="square"/>
              <a:lstStyle/>
              <a:p>
                <a:pPr>
                  <a:defRPr sz="900" b="0" u="none" strike="noStrike">
                    <a:solidFill>
                      <a:srgbClr val="FFFFFF"/>
                    </a:solidFill>
                    <a:uFillTx/>
                    <a:latin typeface="Calibri"/>
                  </a:defRPr>
                </a:pPr>
                <a:endParaRPr lang="pt-BR"/>
              </a:p>
            </c:txPr>
            <c:dLblPos val="ctr"/>
            <c:showLegendKey val="0"/>
            <c:showVal val="1"/>
            <c:showCatName val="0"/>
            <c:showSerName val="0"/>
            <c:showPercent val="0"/>
            <c:showBubbleSize val="1"/>
            <c:separator>; </c:separator>
            <c:showLeaderLines val="0"/>
            <c:extLst>
              <c:ext xmlns:c15="http://schemas.microsoft.com/office/drawing/2012/chart" uri="{CE6537A1-D6FC-4f65-9D91-7224C49458BB}">
                <c15:layout/>
                <c15:showLeaderLines val="1"/>
              </c:ext>
            </c:extLst>
          </c:dLbls>
          <c:cat>
            <c:strRef>
              <c:f>categories</c:f>
              <c:strCache>
                <c:ptCount val="2"/>
                <c:pt idx="0">
                  <c:v>Sem setor</c:v>
                </c:pt>
                <c:pt idx="1">
                  <c:v>Com setor</c:v>
                </c:pt>
              </c:strCache>
            </c:strRef>
          </c:cat>
          <c:val>
            <c:numRef>
              <c:f>4</c:f>
              <c:numCache>
                <c:formatCode>General</c:formatCode>
                <c:ptCount val="2"/>
                <c:pt idx="0">
                  <c:v>7.7</c:v>
                </c:pt>
                <c:pt idx="1">
                  <c:v>19.5</c:v>
                </c:pt>
              </c:numCache>
            </c:numRef>
          </c:val>
        </c:ser>
        <c:dLbls>
          <c:showLegendKey val="0"/>
          <c:showVal val="0"/>
          <c:showCatName val="0"/>
          <c:showSerName val="0"/>
          <c:showPercent val="0"/>
          <c:showBubbleSize val="0"/>
        </c:dLbls>
        <c:gapWidth val="150"/>
        <c:overlap val="100"/>
        <c:axId val="648716136"/>
        <c:axId val="648718880"/>
      </c:barChart>
      <c:catAx>
        <c:axId val="648716136"/>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1200" b="0" u="none" strike="noStrike">
                <a:solidFill>
                  <a:srgbClr val="000000"/>
                </a:solidFill>
                <a:uFillTx/>
                <a:latin typeface="Calibri"/>
              </a:defRPr>
            </a:pPr>
            <a:endParaRPr lang="pt-BR"/>
          </a:p>
        </c:txPr>
        <c:crossAx val="648718880"/>
        <c:crosses val="autoZero"/>
        <c:auto val="1"/>
        <c:lblAlgn val="ctr"/>
        <c:lblOffset val="100"/>
        <c:noMultiLvlLbl val="0"/>
      </c:catAx>
      <c:valAx>
        <c:axId val="648718880"/>
        <c:scaling>
          <c:orientation val="minMax"/>
          <c:max val="100"/>
          <c:min val="0"/>
        </c:scaling>
        <c:delete val="0"/>
        <c:axPos val="l"/>
        <c:majorGridlines>
          <c:spPr>
            <a:ln w="9360">
              <a:solidFill>
                <a:srgbClr val="D9D9D9"/>
              </a:solidFill>
              <a:round/>
            </a:ln>
          </c:spPr>
        </c:majorGridlines>
        <c:numFmt formatCode="0" sourceLinked="0"/>
        <c:majorTickMark val="none"/>
        <c:minorTickMark val="none"/>
        <c:tickLblPos val="nextTo"/>
        <c:spPr>
          <a:ln w="6480">
            <a:noFill/>
          </a:ln>
        </c:spPr>
        <c:txPr>
          <a:bodyPr/>
          <a:lstStyle/>
          <a:p>
            <a:pPr>
              <a:defRPr sz="1100" b="0" u="none" strike="noStrike">
                <a:solidFill>
                  <a:srgbClr val="000000"/>
                </a:solidFill>
                <a:uFillTx/>
                <a:latin typeface="Calibri"/>
              </a:defRPr>
            </a:pPr>
            <a:endParaRPr lang="pt-BR"/>
          </a:p>
        </c:txPr>
        <c:crossAx val="648716136"/>
        <c:crosses val="autoZero"/>
        <c:crossBetween val="between"/>
        <c:majorUnit val="20"/>
      </c:valAx>
      <c:spPr>
        <a:noFill/>
        <a:ln w="0">
          <a:noFill/>
        </a:ln>
      </c:spPr>
    </c:plotArea>
    <c:legend>
      <c:legendPos val="b"/>
      <c:layout/>
      <c:overlay val="0"/>
      <c:spPr>
        <a:noFill/>
        <a:ln w="0">
          <a:noFill/>
        </a:ln>
      </c:spPr>
      <c:txPr>
        <a:bodyPr/>
        <a:lstStyle/>
        <a:p>
          <a:pPr>
            <a:defRPr sz="1200" b="0" u="none" strike="noStrike">
              <a:solidFill>
                <a:srgbClr val="000000"/>
              </a:solidFill>
              <a:uFillTx/>
              <a:latin typeface="Calibri"/>
            </a:defRPr>
          </a:pPr>
          <a:endParaRPr lang="pt-BR"/>
        </a:p>
      </c:txPr>
    </c:legend>
    <c:plotVisOnly val="1"/>
    <c:dispBlanksAs val="gap"/>
    <c:showDLblsOverMax val="1"/>
  </c:chart>
  <c:spPr>
    <a:solidFill>
      <a:srgbClr val="FFFFFF"/>
    </a:solidFill>
    <a:ln w="9360">
      <a:solidFill>
        <a:srgbClr val="808080"/>
      </a:solidFill>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pt-BR"/>
  <c:roundedCorners val="0"/>
  <c:style val="2"/>
  <c:chart>
    <c:autoTitleDeleted val="1"/>
    <c:plotArea>
      <c:layout/>
      <c:barChart>
        <c:barDir val="bar"/>
        <c:grouping val="clustered"/>
        <c:varyColors val="0"/>
        <c:ser>
          <c:idx val="0"/>
          <c:order val="0"/>
          <c:tx>
            <c:strRef>
              <c:f>label 0</c:f>
              <c:strCache>
                <c:ptCount val="1"/>
                <c:pt idx="0">
                  <c:v>Série 1</c:v>
                </c:pt>
              </c:strCache>
            </c:strRef>
          </c:tx>
          <c:spPr>
            <a:solidFill>
              <a:srgbClr val="4472C4"/>
            </a:solidFill>
            <a:ln w="0">
              <a:noFill/>
            </a:ln>
          </c:spPr>
          <c:invertIfNegative val="0"/>
          <c:dPt>
            <c:idx val="0"/>
            <c:invertIfNegative val="0"/>
            <c:bubble3D val="0"/>
            <c:spPr>
              <a:solidFill>
                <a:srgbClr val="203864"/>
              </a:solidFill>
              <a:ln w="0">
                <a:noFill/>
              </a:ln>
            </c:spPr>
          </c:dPt>
          <c:dPt>
            <c:idx val="1"/>
            <c:invertIfNegative val="0"/>
            <c:bubble3D val="0"/>
            <c:spPr>
              <a:solidFill>
                <a:srgbClr val="2F5597"/>
              </a:solidFill>
              <a:ln w="0">
                <a:noFill/>
              </a:ln>
            </c:spPr>
          </c:dPt>
          <c:dPt>
            <c:idx val="2"/>
            <c:invertIfNegative val="0"/>
            <c:bubble3D val="0"/>
            <c:spPr>
              <a:solidFill>
                <a:srgbClr val="8FAADC"/>
              </a:solidFill>
              <a:ln w="0">
                <a:noFill/>
              </a:ln>
            </c:spPr>
          </c:dPt>
          <c:dPt>
            <c:idx val="3"/>
            <c:invertIfNegative val="0"/>
            <c:bubble3D val="0"/>
            <c:spPr>
              <a:solidFill>
                <a:srgbClr val="B4C7E7"/>
              </a:solidFill>
              <a:ln w="0">
                <a:noFill/>
              </a:ln>
            </c:spPr>
          </c:dPt>
          <c:dPt>
            <c:idx val="4"/>
            <c:invertIfNegative val="0"/>
            <c:bubble3D val="0"/>
            <c:spPr>
              <a:solidFill>
                <a:srgbClr val="B4C7E7"/>
              </a:solidFill>
              <a:ln w="0">
                <a:noFill/>
              </a:ln>
            </c:spPr>
          </c:dPt>
          <c:dLbls>
            <c:dLbl>
              <c:idx val="0"/>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dLbl>
              <c:idx val="1"/>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dLbl>
              <c:idx val="2"/>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dLbl>
              <c:idx val="3"/>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dLbl>
              <c:idx val="4"/>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extLst>
                <c:ext xmlns:c15="http://schemas.microsoft.com/office/drawing/2012/chart" uri="{CE6537A1-D6FC-4f65-9D91-7224C49458BB}"/>
              </c:extLst>
            </c:dLbl>
            <c:spPr>
              <a:noFill/>
              <a:ln>
                <a:noFill/>
              </a:ln>
              <a:effectLst/>
            </c:spPr>
            <c:txPr>
              <a:bodyPr wrap="square"/>
              <a:lstStyle/>
              <a:p>
                <a:pPr>
                  <a:defRPr sz="1000" b="0" u="none" strike="noStrike">
                    <a:solidFill>
                      <a:srgbClr val="000000"/>
                    </a:solidFill>
                    <a:uFillTx/>
                    <a:latin typeface="Calibri"/>
                  </a:defRPr>
                </a:pPr>
                <a:endParaRPr lang="pt-BR"/>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5"/>
                <c:pt idx="0">
                  <c:v>Limpreza</c:v>
                </c:pt>
                <c:pt idx="1">
                  <c:v>Disponibilidade</c:v>
                </c:pt>
                <c:pt idx="2">
                  <c:v>Variedade</c:v>
                </c:pt>
                <c:pt idx="3">
                  <c:v>Condições</c:v>
                </c:pt>
                <c:pt idx="4">
                  <c:v>Quantidade</c:v>
                </c:pt>
              </c:strCache>
            </c:strRef>
          </c:cat>
          <c:val>
            <c:numRef>
              <c:f>0</c:f>
              <c:numCache>
                <c:formatCode>General</c:formatCode>
                <c:ptCount val="5"/>
                <c:pt idx="0">
                  <c:v>3.2</c:v>
                </c:pt>
                <c:pt idx="1">
                  <c:v>3.2</c:v>
                </c:pt>
                <c:pt idx="2">
                  <c:v>3</c:v>
                </c:pt>
                <c:pt idx="3">
                  <c:v>2.8</c:v>
                </c:pt>
                <c:pt idx="4">
                  <c:v>2.8</c:v>
                </c:pt>
              </c:numCache>
            </c:numRef>
          </c:val>
        </c:ser>
        <c:dLbls>
          <c:showLegendKey val="0"/>
          <c:showVal val="0"/>
          <c:showCatName val="0"/>
          <c:showSerName val="0"/>
          <c:showPercent val="0"/>
          <c:showBubbleSize val="0"/>
        </c:dLbls>
        <c:gapWidth val="182"/>
        <c:axId val="648718488"/>
        <c:axId val="648715352"/>
      </c:barChart>
      <c:catAx>
        <c:axId val="648718488"/>
        <c:scaling>
          <c:orientation val="minMax"/>
        </c:scaling>
        <c:delete val="0"/>
        <c:axPos val="l"/>
        <c:numFmt formatCode="General" sourceLinked="0"/>
        <c:majorTickMark val="none"/>
        <c:minorTickMark val="none"/>
        <c:tickLblPos val="nextTo"/>
        <c:spPr>
          <a:ln w="9360">
            <a:solidFill>
              <a:srgbClr val="D9D9D9"/>
            </a:solidFill>
            <a:round/>
          </a:ln>
        </c:spPr>
        <c:txPr>
          <a:bodyPr/>
          <a:lstStyle/>
          <a:p>
            <a:pPr>
              <a:defRPr sz="1100" b="0" u="none" strike="noStrike">
                <a:solidFill>
                  <a:srgbClr val="000000"/>
                </a:solidFill>
                <a:uFillTx/>
                <a:latin typeface="Calibri"/>
              </a:defRPr>
            </a:pPr>
            <a:endParaRPr lang="pt-BR"/>
          </a:p>
        </c:txPr>
        <c:crossAx val="648715352"/>
        <c:crosses val="autoZero"/>
        <c:auto val="1"/>
        <c:lblAlgn val="ctr"/>
        <c:lblOffset val="100"/>
        <c:noMultiLvlLbl val="0"/>
      </c:catAx>
      <c:valAx>
        <c:axId val="648715352"/>
        <c:scaling>
          <c:orientation val="minMax"/>
          <c:max val="5"/>
          <c:min val="1"/>
        </c:scaling>
        <c:delete val="0"/>
        <c:axPos val="b"/>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sz="1100" b="0" u="none" strike="noStrike">
                <a:solidFill>
                  <a:srgbClr val="000000"/>
                </a:solidFill>
                <a:uFillTx/>
                <a:latin typeface="Calibri"/>
              </a:defRPr>
            </a:pPr>
            <a:endParaRPr lang="pt-BR"/>
          </a:p>
        </c:txPr>
        <c:crossAx val="648718488"/>
        <c:crosses val="autoZero"/>
        <c:crossBetween val="between"/>
        <c:majorUnit val="1"/>
      </c:valAx>
      <c:spPr>
        <a:noFill/>
        <a:ln w="0">
          <a:noFill/>
        </a:ln>
      </c:spPr>
    </c:plotArea>
    <c:plotVisOnly val="1"/>
    <c:dispBlanksAs val="gap"/>
    <c:showDLblsOverMax val="1"/>
  </c:chart>
  <c:spPr>
    <a:solidFill>
      <a:srgbClr val="FFFFFF"/>
    </a:solidFill>
    <a:ln w="9360">
      <a:solidFill>
        <a:srgbClr val="808080"/>
      </a:solidFill>
      <a:round/>
    </a:ln>
  </c:spPr>
  <c:externalData r:id="rId1">
    <c:autoUpdate val="0"/>
  </c:externalData>
</c:chartSpace>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8918</Words>
  <Characters>48161</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CD</Company>
  <LinksUpToDate>false</LinksUpToDate>
  <CharactersWithSpaces>56966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do Socorro Dias Aires de Carvalho</dc:creator>
  <cp:lastModifiedBy>Maria do Socorro Dias Aires de Carvalho</cp:lastModifiedBy>
  <cp:revision>3</cp:revision>
  <dcterms:created xsi:type="dcterms:W3CDTF">2026-06-26T18:52:00Z</dcterms:created>
  <dcterms:modified xsi:type="dcterms:W3CDTF">2026-06-30T18:25:00Z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2026-04-14T00:24:00Z</dcterms:created>
  <dc:creator>Un-named</dc:creator>
  <dc:description/>
  <dc:language>pt-BR</dc:language>
  <cp:lastModifiedBy/>
  <dcterms:modified xsi:type="dcterms:W3CDTF">2026-06-26T12:20:12Z</dcterms:modified>
  <cp:revision>166</cp:revision>
  <dc:subject/>
  <dc:title/>
</cp:coreProperties>
</file>