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B24FCA" w14:textId="77777777" w:rsidR="00E57E64" w:rsidRPr="00B8310D" w:rsidRDefault="00B8310D" w:rsidP="00FF713B">
      <w:pPr>
        <w:spacing w:line="240" w:lineRule="auto"/>
        <w:ind w:firstLine="0"/>
        <w:jc w:val="center"/>
        <w:rPr>
          <w:rFonts w:ascii="Times New Roman" w:eastAsia="Times New Roman" w:hAnsi="Times New Roman" w:cs="Times New Roman"/>
          <w:b/>
          <w:bCs/>
          <w:lang w:val="pt-BR"/>
        </w:rPr>
      </w:pPr>
      <w:bookmarkStart w:id="0" w:name="_GoBack"/>
      <w:bookmarkEnd w:id="0"/>
      <w:r w:rsidRPr="00B8310D">
        <w:rPr>
          <w:rFonts w:ascii="Times New Roman" w:eastAsia="Times New Roman" w:hAnsi="Times New Roman" w:cs="Times New Roman"/>
          <w:b/>
          <w:bCs/>
          <w:lang w:val="pt-BR"/>
        </w:rPr>
        <w:t xml:space="preserve">POLÍTICA DE ESPORTE EDUCACIONAL NO BRASIL E O ESVAZIAMENTO DO PROGRAMA SEGUNDO TEMPO: DESAFIOS NO FINANCIAMENTO E NA INTERSETORIALIDADE </w:t>
      </w:r>
    </w:p>
    <w:p w14:paraId="21ABC44A" w14:textId="77777777" w:rsidR="00E57E64" w:rsidRPr="00B8310D" w:rsidRDefault="00E57E64" w:rsidP="00FF713B">
      <w:pPr>
        <w:spacing w:line="240" w:lineRule="auto"/>
        <w:ind w:firstLine="0"/>
        <w:jc w:val="center"/>
        <w:rPr>
          <w:rFonts w:ascii="Times New Roman" w:eastAsia="Times New Roman" w:hAnsi="Times New Roman" w:cs="Times New Roman"/>
          <w:b/>
          <w:bCs/>
          <w:lang w:val="pt-BR"/>
        </w:rPr>
      </w:pPr>
    </w:p>
    <w:p w14:paraId="5595FE6F" w14:textId="77777777" w:rsidR="00E57E64" w:rsidRPr="006036EF" w:rsidRDefault="00B8310D" w:rsidP="00FF713B">
      <w:pPr>
        <w:spacing w:line="240" w:lineRule="auto"/>
        <w:ind w:firstLine="0"/>
        <w:jc w:val="center"/>
        <w:rPr>
          <w:rFonts w:ascii="Times New Roman" w:eastAsia="Times New Roman" w:hAnsi="Times New Roman" w:cs="Times New Roman"/>
          <w:b/>
          <w:bCs/>
        </w:rPr>
      </w:pPr>
      <w:r w:rsidRPr="006036EF">
        <w:rPr>
          <w:rFonts w:ascii="Times New Roman" w:eastAsia="Times New Roman" w:hAnsi="Times New Roman" w:cs="Times New Roman"/>
          <w:b/>
          <w:bCs/>
        </w:rPr>
        <w:t xml:space="preserve">EDUCATIONAL SPORT POLICY IN BRAZIL AND THE HOLLOWING OUT OF THE SEGUNDO TEMPO PROGRAM: CHALLENGES IN FUNDING AND INTERSECTORALITY </w:t>
      </w:r>
    </w:p>
    <w:p w14:paraId="764EC0F6" w14:textId="77777777" w:rsidR="00E57E64" w:rsidRPr="006036EF" w:rsidRDefault="00E57E64" w:rsidP="00FF713B">
      <w:pPr>
        <w:spacing w:line="240" w:lineRule="auto"/>
        <w:ind w:firstLine="0"/>
        <w:jc w:val="center"/>
        <w:rPr>
          <w:rFonts w:ascii="Times New Roman" w:eastAsia="Times New Roman" w:hAnsi="Times New Roman" w:cs="Times New Roman"/>
          <w:b/>
          <w:bCs/>
        </w:rPr>
      </w:pPr>
    </w:p>
    <w:p w14:paraId="464D9900" w14:textId="77777777" w:rsidR="00E57E64" w:rsidRPr="00B8310D" w:rsidRDefault="00B8310D" w:rsidP="00FF713B">
      <w:pPr>
        <w:spacing w:line="240" w:lineRule="auto"/>
        <w:ind w:firstLine="0"/>
        <w:jc w:val="center"/>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POLÍTICA DE DEPORTE EDUCATIVO EN BRASIL Y EL VACIAMIENTO DEL PROGRAMA SEGUNDO TEMPO: DESAFÍOS EN EL FINANCIAMIENTO Y EN LA INTERSECTORIALIDAD</w:t>
      </w:r>
    </w:p>
    <w:p w14:paraId="29F363C0" w14:textId="77777777" w:rsidR="00E57E64" w:rsidRDefault="00E57E64" w:rsidP="001609E4">
      <w:pPr>
        <w:ind w:firstLine="0"/>
        <w:rPr>
          <w:rFonts w:ascii="Times New Roman" w:eastAsia="Times New Roman" w:hAnsi="Times New Roman" w:cs="Times New Roman"/>
          <w:b/>
          <w:bCs/>
          <w:lang w:val="pt-BR"/>
        </w:rPr>
      </w:pPr>
    </w:p>
    <w:p w14:paraId="697CCACA" w14:textId="10932BC2" w:rsidR="00BF7C98" w:rsidRDefault="00BF7C98" w:rsidP="00BF7C98">
      <w:pPr>
        <w:jc w:val="right"/>
        <w:rPr>
          <w:rStyle w:val="WW-Refdenotaderodap"/>
          <w:rFonts w:ascii="Symbol" w:hAnsi="Symbol"/>
          <w:b/>
        </w:rPr>
      </w:pPr>
      <w:r>
        <w:rPr>
          <w:szCs w:val="20"/>
        </w:rPr>
        <w:t>Dirceu Santos Silva</w:t>
      </w:r>
      <w:r w:rsidRPr="007A5B0C">
        <w:rPr>
          <w:rStyle w:val="WW-Refdenotaderodap"/>
          <w:rFonts w:ascii="Symbol" w:hAnsi="Symbol"/>
          <w:b/>
        </w:rPr>
        <w:footnoteReference w:customMarkFollows="1" w:id="1"/>
        <w:t></w:t>
      </w:r>
    </w:p>
    <w:p w14:paraId="100C3F89" w14:textId="13A714E1" w:rsidR="00BF7C98" w:rsidRPr="007A5B0C" w:rsidRDefault="00BF7C98" w:rsidP="00BF7C98">
      <w:pPr>
        <w:jc w:val="right"/>
        <w:rPr>
          <w:b/>
        </w:rPr>
      </w:pPr>
      <w:r>
        <w:rPr>
          <w:szCs w:val="20"/>
        </w:rPr>
        <w:t>Juliana Marta Antunes Ramos</w:t>
      </w:r>
      <w:r w:rsidRPr="007A5B0C">
        <w:rPr>
          <w:rStyle w:val="WW-Refdenotaderodap"/>
          <w:rFonts w:ascii="Symbol" w:hAnsi="Symbol"/>
          <w:b/>
        </w:rPr>
        <w:footnoteReference w:customMarkFollows="1" w:id="2"/>
        <w:t></w:t>
      </w:r>
    </w:p>
    <w:p w14:paraId="7B179FA9" w14:textId="7660053E" w:rsidR="00BF7C98" w:rsidRPr="007A5B0C" w:rsidRDefault="00BF7C98" w:rsidP="00BF7C98">
      <w:pPr>
        <w:jc w:val="right"/>
        <w:rPr>
          <w:b/>
        </w:rPr>
      </w:pPr>
      <w:r>
        <w:rPr>
          <w:szCs w:val="20"/>
        </w:rPr>
        <w:t>Bruno Modesto Silvestre</w:t>
      </w:r>
      <w:r w:rsidRPr="007A5B0C">
        <w:rPr>
          <w:rStyle w:val="WW-Refdenotaderodap"/>
          <w:rFonts w:ascii="Symbol" w:hAnsi="Symbol"/>
          <w:b/>
        </w:rPr>
        <w:footnoteReference w:customMarkFollows="1" w:id="3"/>
        <w:t></w:t>
      </w:r>
    </w:p>
    <w:p w14:paraId="312C6ADC" w14:textId="77777777" w:rsidR="00BF7C98" w:rsidRPr="007A5B0C" w:rsidRDefault="00BF7C98" w:rsidP="00BF7C98">
      <w:pPr>
        <w:jc w:val="right"/>
        <w:rPr>
          <w:b/>
        </w:rPr>
      </w:pPr>
    </w:p>
    <w:p w14:paraId="51EA9AE5" w14:textId="77777777" w:rsidR="00BF7C98" w:rsidRPr="00B8310D" w:rsidRDefault="00BF7C98" w:rsidP="001609E4">
      <w:pPr>
        <w:ind w:firstLine="0"/>
        <w:rPr>
          <w:rFonts w:ascii="Times New Roman" w:eastAsia="Times New Roman" w:hAnsi="Times New Roman" w:cs="Times New Roman"/>
          <w:b/>
          <w:bCs/>
          <w:lang w:val="pt-BR"/>
        </w:rPr>
      </w:pPr>
    </w:p>
    <w:p w14:paraId="794692EA" w14:textId="77777777" w:rsidR="00E57E64" w:rsidRPr="00B8310D" w:rsidRDefault="00B8310D" w:rsidP="001609E4">
      <w:pPr>
        <w:ind w:firstLine="0"/>
        <w:rPr>
          <w:rFonts w:ascii="Times New Roman" w:eastAsia="Times New Roman" w:hAnsi="Times New Roman" w:cs="Times New Roman"/>
          <w:lang w:val="pt-BR"/>
        </w:rPr>
      </w:pPr>
      <w:r w:rsidRPr="00B8310D">
        <w:rPr>
          <w:rFonts w:ascii="Times New Roman" w:eastAsia="Times New Roman" w:hAnsi="Times New Roman" w:cs="Times New Roman"/>
          <w:b/>
          <w:bCs/>
          <w:lang w:val="pt-BR"/>
        </w:rPr>
        <w:t xml:space="preserve">Resumo: </w:t>
      </w:r>
      <w:r w:rsidRPr="00B8310D">
        <w:rPr>
          <w:rFonts w:ascii="Times New Roman" w:eastAsia="Times New Roman" w:hAnsi="Times New Roman" w:cs="Times New Roman"/>
          <w:lang w:val="pt-BR"/>
        </w:rPr>
        <w:t xml:space="preserve">O artigo analisa a política de esporte educacional no Brasil a partir do esvaziamento do financiamento do Programa Segundo Tempo (PST) e dos desafios da intersetorialidade entre esporte e educação. Trata-se de uma pesquisa interpretativa e qualitativa, baseada na revisão da literatura, na análise documental e no exame de audiência pública, realizada por meio da análise de conteúdo. Os resultados indicam avanços normativos e jurídicos, mas sem a institucionalização da política de Estado universal. A intersetorialidade é incipiente, com baixa coordenação e frágil integração com a educação e com os demais setores. A descentralização revela padrões desiguais, com concentração em municípios com a maior capacidade administrativa. O financiamento é instável, pouco transparente e dependente de decisões conjunturais e de ciclos governamentais, o </w:t>
      </w:r>
      <w:r w:rsidRPr="00B8310D">
        <w:rPr>
          <w:rFonts w:ascii="Times New Roman" w:eastAsia="Times New Roman" w:hAnsi="Times New Roman" w:cs="Times New Roman"/>
          <w:lang w:val="pt-BR"/>
        </w:rPr>
        <w:lastRenderedPageBreak/>
        <w:t xml:space="preserve">que contribuiu para o esvaziamento do PST. Conclui-se haver dissociação entre o arcabouço normativo e a materialização da política. </w:t>
      </w:r>
    </w:p>
    <w:p w14:paraId="237F16DE" w14:textId="77777777" w:rsidR="00E57E64" w:rsidRPr="00B8310D" w:rsidRDefault="00B8310D" w:rsidP="001609E4">
      <w:pPr>
        <w:ind w:firstLine="0"/>
        <w:rPr>
          <w:rFonts w:ascii="Times New Roman" w:eastAsia="Times New Roman" w:hAnsi="Times New Roman" w:cs="Times New Roman"/>
          <w:lang w:val="pt-BR"/>
        </w:rPr>
      </w:pPr>
      <w:r w:rsidRPr="00B8310D">
        <w:rPr>
          <w:rFonts w:ascii="Times New Roman" w:eastAsia="Times New Roman" w:hAnsi="Times New Roman" w:cs="Times New Roman"/>
          <w:b/>
          <w:bCs/>
          <w:lang w:val="pt-BR"/>
        </w:rPr>
        <w:t>Palavras-chave</w:t>
      </w:r>
      <w:r w:rsidRPr="00B8310D">
        <w:rPr>
          <w:rFonts w:ascii="Times New Roman" w:eastAsia="Times New Roman" w:hAnsi="Times New Roman" w:cs="Times New Roman"/>
          <w:lang w:val="pt-BR"/>
        </w:rPr>
        <w:t>: Políticas Públicas; Esporte Educacional; Intersetorialidade.</w:t>
      </w:r>
    </w:p>
    <w:p w14:paraId="5D9CFFDD" w14:textId="77777777" w:rsidR="00E57E64" w:rsidRPr="00B8310D" w:rsidRDefault="00E57E64" w:rsidP="001609E4">
      <w:pPr>
        <w:ind w:firstLine="0"/>
        <w:rPr>
          <w:rFonts w:ascii="Times New Roman" w:eastAsia="Times New Roman" w:hAnsi="Times New Roman" w:cs="Times New Roman"/>
          <w:lang w:val="pt-BR"/>
        </w:rPr>
      </w:pPr>
    </w:p>
    <w:p w14:paraId="6B10AA7B" w14:textId="77777777" w:rsidR="00E57E64" w:rsidRPr="006036EF" w:rsidRDefault="00B8310D" w:rsidP="001609E4">
      <w:pPr>
        <w:ind w:firstLine="0"/>
        <w:rPr>
          <w:rFonts w:ascii="Times New Roman" w:eastAsia="Times New Roman" w:hAnsi="Times New Roman" w:cs="Times New Roman"/>
          <w:b/>
          <w:bCs/>
          <w:highlight w:val="red"/>
        </w:rPr>
      </w:pPr>
      <w:r w:rsidRPr="006036EF">
        <w:rPr>
          <w:rFonts w:ascii="Times New Roman" w:eastAsia="Times New Roman" w:hAnsi="Times New Roman" w:cs="Times New Roman"/>
          <w:b/>
          <w:bCs/>
        </w:rPr>
        <w:t xml:space="preserve">Abstract: </w:t>
      </w:r>
      <w:r w:rsidRPr="006036EF">
        <w:rPr>
          <w:rFonts w:ascii="Times New Roman" w:eastAsia="Times New Roman" w:hAnsi="Times New Roman" w:cs="Times New Roman"/>
        </w:rPr>
        <w:t>The article examines educational sport policy in Brazil in light of the depletion of funding for the Segundo Tempo Program (PST) and the challenges of intersectorality between sport and education. It adopts an interpretive, qualitative approach, based on literature review, document analysis, and examination of a public hearing, using content analysis. The findings indicate normative and legal advances, but without the institutionalisation of a universal state policy. Intersectorality remains incipient, with limited coordination and weak integration with education and other sectors. Decentralisation reveals unequal patterns, with concentration in municipalities with greater administrative capacity. Funding is unstable, poorly transparent, and dependent on contingent decisions and governmental cycles, contributing to the depletion of the PST. It is concluded that there is a dissociation between the normative framework and the materialisation of the policy.</w:t>
      </w:r>
    </w:p>
    <w:p w14:paraId="796931C8" w14:textId="77777777" w:rsidR="00E57E64" w:rsidRPr="006036EF" w:rsidRDefault="00B8310D" w:rsidP="001609E4">
      <w:pPr>
        <w:ind w:firstLine="0"/>
        <w:rPr>
          <w:rFonts w:ascii="Times New Roman" w:eastAsia="Times New Roman" w:hAnsi="Times New Roman" w:cs="Times New Roman"/>
        </w:rPr>
      </w:pPr>
      <w:r w:rsidRPr="006036EF">
        <w:rPr>
          <w:rFonts w:ascii="Times New Roman" w:eastAsia="Times New Roman" w:hAnsi="Times New Roman" w:cs="Times New Roman"/>
          <w:b/>
          <w:bCs/>
        </w:rPr>
        <w:t xml:space="preserve">Keywords: </w:t>
      </w:r>
      <w:r w:rsidRPr="006036EF">
        <w:rPr>
          <w:rFonts w:ascii="Times New Roman" w:eastAsia="Times New Roman" w:hAnsi="Times New Roman" w:cs="Times New Roman"/>
        </w:rPr>
        <w:t>Public Policies; Educational Sport; Intersectorality.</w:t>
      </w:r>
    </w:p>
    <w:p w14:paraId="53A7C4A9" w14:textId="77777777" w:rsidR="00E57E64" w:rsidRPr="006036EF" w:rsidRDefault="00E57E64" w:rsidP="001609E4">
      <w:pPr>
        <w:ind w:firstLine="0"/>
        <w:rPr>
          <w:rFonts w:ascii="Times New Roman" w:eastAsia="Times New Roman" w:hAnsi="Times New Roman" w:cs="Times New Roman"/>
          <w:b/>
          <w:bCs/>
        </w:rPr>
      </w:pPr>
    </w:p>
    <w:p w14:paraId="66305CBC" w14:textId="77777777" w:rsidR="00E57E64" w:rsidRPr="00B8310D" w:rsidRDefault="00B8310D" w:rsidP="001609E4">
      <w:pPr>
        <w:ind w:firstLine="0"/>
        <w:rPr>
          <w:rFonts w:ascii="Times New Roman" w:eastAsia="Times New Roman" w:hAnsi="Times New Roman" w:cs="Times New Roman"/>
          <w:b/>
          <w:bCs/>
          <w:highlight w:val="red"/>
          <w:lang w:val="pt-BR"/>
        </w:rPr>
      </w:pPr>
      <w:r w:rsidRPr="00B8310D">
        <w:rPr>
          <w:rFonts w:ascii="Times New Roman" w:eastAsia="Times New Roman" w:hAnsi="Times New Roman" w:cs="Times New Roman"/>
          <w:b/>
          <w:bCs/>
          <w:lang w:val="pt-BR"/>
        </w:rPr>
        <w:t xml:space="preserve">Resumen: </w:t>
      </w:r>
      <w:r w:rsidRPr="00B8310D">
        <w:rPr>
          <w:rFonts w:ascii="Times New Roman" w:eastAsia="Times New Roman" w:hAnsi="Times New Roman" w:cs="Times New Roman"/>
          <w:lang w:val="pt-BR"/>
        </w:rPr>
        <w:t>El artículo examina la política de deporte educativo en Brasil a partir del vaciamiento del financiamiento del Programa Segundo Tempo (PST) y de los desafíos de la intersectorialidad entre deporte y educación. Se trata de una investigación interpretativa y cualitativa, basada en la revisión de la literatura, el análisis documental y el examen de una audiencia pública, realizada mediante análisis de contenido. Los resultados indican avances normativos y jurídicos, pero sin la institucionalización de una política de Estado universal. La intersectorialidad es incipiente, con baja coordinación y débil integración con la educación y los demás sectores. La descentralización revela patrones desiguales, con concentración en municipios con mayor capacidad administrativa. El financiamiento es inestable, poco transparente y dependiente de decisiones coyunturales y de ciclos gubernamentales, lo que contribuyó al vaciamiento del PST. Se concluye que existe una disociación entre el marco normativo y la materialización de la política.</w:t>
      </w:r>
    </w:p>
    <w:p w14:paraId="6862943A" w14:textId="5D83D494" w:rsidR="00E57E64" w:rsidRPr="00B8310D" w:rsidRDefault="00BF7C98" w:rsidP="001609E4">
      <w:pPr>
        <w:ind w:firstLine="0"/>
        <w:rPr>
          <w:rFonts w:ascii="Times New Roman" w:eastAsia="Times New Roman" w:hAnsi="Times New Roman" w:cs="Times New Roman"/>
          <w:lang w:val="pt-BR"/>
        </w:rPr>
      </w:pPr>
      <w:r>
        <w:rPr>
          <w:rFonts w:ascii="Times New Roman" w:eastAsia="Times New Roman" w:hAnsi="Times New Roman" w:cs="Times New Roman"/>
          <w:b/>
          <w:bCs/>
          <w:lang w:val="pt-BR"/>
        </w:rPr>
        <w:t>Palabras</w:t>
      </w:r>
      <w:r w:rsidR="00B8310D" w:rsidRPr="00B8310D">
        <w:rPr>
          <w:rFonts w:ascii="Times New Roman" w:eastAsia="Times New Roman" w:hAnsi="Times New Roman" w:cs="Times New Roman"/>
          <w:b/>
          <w:bCs/>
          <w:lang w:val="pt-BR"/>
        </w:rPr>
        <w:t xml:space="preserve"> clave:</w:t>
      </w:r>
      <w:r w:rsidR="00B8310D" w:rsidRPr="00B8310D">
        <w:rPr>
          <w:rFonts w:ascii="Times New Roman" w:eastAsia="Times New Roman" w:hAnsi="Times New Roman" w:cs="Times New Roman"/>
          <w:lang w:val="pt-BR"/>
        </w:rPr>
        <w:t xml:space="preserve"> Políticas Públicas; Deporte Educativo; Intersectorialidad.</w:t>
      </w:r>
    </w:p>
    <w:p w14:paraId="28DD5F8C" w14:textId="77777777" w:rsidR="00E57E64" w:rsidRPr="00B8310D" w:rsidRDefault="00E57E64" w:rsidP="001609E4">
      <w:pPr>
        <w:ind w:firstLine="0"/>
        <w:rPr>
          <w:rFonts w:ascii="Times New Roman" w:eastAsia="Times New Roman" w:hAnsi="Times New Roman" w:cs="Times New Roman"/>
          <w:lang w:val="pt-BR"/>
        </w:rPr>
      </w:pPr>
    </w:p>
    <w:p w14:paraId="4FA7359B"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1. Introdução</w:t>
      </w:r>
    </w:p>
    <w:p w14:paraId="5CC05A8B" w14:textId="54812F62"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Constituição da República Federativa do Brasil de 1988 (CF-1988) reconheceu o esporte como direito de cada um e o esporte educacional como área prioritária de financiamento (Brasil, 1988). O reconhecimento desse direito foi reafirmado pela Lei nº 14.597, de 14 de junho de 2023, que instituiu a Lei Geral do Esporte (LGE), </w:t>
      </w:r>
      <w:r w:rsidR="00374525">
        <w:rPr>
          <w:rFonts w:ascii="Times New Roman" w:eastAsia="Times New Roman" w:hAnsi="Times New Roman" w:cs="Times New Roman"/>
          <w:lang w:val="pt-BR"/>
        </w:rPr>
        <w:t xml:space="preserve">a </w:t>
      </w:r>
      <w:r w:rsidR="00822650">
        <w:rPr>
          <w:rFonts w:ascii="Times New Roman" w:eastAsia="Times New Roman" w:hAnsi="Times New Roman" w:cs="Times New Roman"/>
          <w:lang w:val="pt-BR"/>
        </w:rPr>
        <w:t>qual</w:t>
      </w:r>
      <w:r w:rsidRPr="00B8310D">
        <w:rPr>
          <w:rFonts w:ascii="Times New Roman" w:eastAsia="Times New Roman" w:hAnsi="Times New Roman" w:cs="Times New Roman"/>
          <w:lang w:val="pt-BR"/>
        </w:rPr>
        <w:t xml:space="preserve"> estabeleceu diretrizes para a organização das políticas esportivas no Brasil (Brasil, 2023a).</w:t>
      </w:r>
    </w:p>
    <w:p w14:paraId="5A5E5B2A" w14:textId="1E88F87B"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lastRenderedPageBreak/>
        <w:t xml:space="preserve">A literatura sobre o Programa Segundo Tempo (PST) converge ao reconhecê-lo como a principal ação para o acesso ao direito </w:t>
      </w:r>
      <w:r w:rsidR="00822650">
        <w:rPr>
          <w:rFonts w:ascii="Times New Roman" w:eastAsia="Times New Roman" w:hAnsi="Times New Roman" w:cs="Times New Roman"/>
          <w:lang w:val="pt-BR"/>
        </w:rPr>
        <w:t>ao</w:t>
      </w:r>
      <w:r w:rsidRPr="00B8310D">
        <w:rPr>
          <w:rFonts w:ascii="Times New Roman" w:eastAsia="Times New Roman" w:hAnsi="Times New Roman" w:cs="Times New Roman"/>
          <w:lang w:val="pt-BR"/>
        </w:rPr>
        <w:t xml:space="preserve"> esporte educacional no contraturno escolar (Silva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 2023). Evidências indicam que, em sua fase inicial, houve transferência significativa da implementação das ações para o chamado Terceiro Setor, o que reposicionou o papel do Estado na provisão direta dessa política (Melo, 2007). Ao longo d</w:t>
      </w:r>
      <w:r w:rsidR="00374525">
        <w:rPr>
          <w:rFonts w:ascii="Times New Roman" w:eastAsia="Times New Roman" w:hAnsi="Times New Roman" w:cs="Times New Roman"/>
          <w:lang w:val="pt-BR"/>
        </w:rPr>
        <w:t>e</w:t>
      </w:r>
      <w:r w:rsidRPr="00B8310D">
        <w:rPr>
          <w:rFonts w:ascii="Times New Roman" w:eastAsia="Times New Roman" w:hAnsi="Times New Roman" w:cs="Times New Roman"/>
          <w:lang w:val="pt-BR"/>
        </w:rPr>
        <w:t xml:space="preserve"> </w:t>
      </w:r>
      <w:r w:rsidR="00374525">
        <w:rPr>
          <w:rFonts w:ascii="Times New Roman" w:eastAsia="Times New Roman" w:hAnsi="Times New Roman" w:cs="Times New Roman"/>
          <w:lang w:val="pt-BR"/>
        </w:rPr>
        <w:t xml:space="preserve">diferentes </w:t>
      </w:r>
      <w:r w:rsidRPr="00B8310D">
        <w:rPr>
          <w:rFonts w:ascii="Times New Roman" w:eastAsia="Times New Roman" w:hAnsi="Times New Roman" w:cs="Times New Roman"/>
          <w:lang w:val="pt-BR"/>
        </w:rPr>
        <w:t xml:space="preserve">governos, o PST passou por </w:t>
      </w:r>
      <w:r w:rsidRPr="00822650">
        <w:rPr>
          <w:rFonts w:ascii="Times New Roman" w:eastAsia="Times New Roman" w:hAnsi="Times New Roman" w:cs="Times New Roman"/>
          <w:lang w:val="pt-BR"/>
        </w:rPr>
        <w:t>avanços e retrocessos em seu desenho institucional</w:t>
      </w:r>
      <w:r w:rsidR="00374525" w:rsidRPr="00822650">
        <w:rPr>
          <w:rFonts w:ascii="Times New Roman" w:eastAsia="Times New Roman" w:hAnsi="Times New Roman" w:cs="Times New Roman"/>
          <w:lang w:val="pt-BR"/>
        </w:rPr>
        <w:t xml:space="preserve">. Entre essas mudanças, destaca-se </w:t>
      </w:r>
      <w:r w:rsidRPr="00822650">
        <w:rPr>
          <w:rFonts w:ascii="Times New Roman" w:eastAsia="Times New Roman" w:hAnsi="Times New Roman" w:cs="Times New Roman"/>
          <w:lang w:val="pt-BR"/>
        </w:rPr>
        <w:t xml:space="preserve">a </w:t>
      </w:r>
      <w:r w:rsidR="00D2006B" w:rsidRPr="00822650">
        <w:rPr>
          <w:rFonts w:ascii="Times New Roman" w:eastAsia="Times New Roman" w:hAnsi="Times New Roman" w:cs="Times New Roman"/>
          <w:lang w:val="pt-BR"/>
        </w:rPr>
        <w:t xml:space="preserve">suspensão </w:t>
      </w:r>
      <w:r w:rsidRPr="00822650">
        <w:rPr>
          <w:rFonts w:ascii="Times New Roman" w:eastAsia="Times New Roman" w:hAnsi="Times New Roman" w:cs="Times New Roman"/>
          <w:lang w:val="pt-BR"/>
        </w:rPr>
        <w:t xml:space="preserve">de </w:t>
      </w:r>
      <w:r w:rsidRPr="00B8310D">
        <w:rPr>
          <w:rFonts w:ascii="Times New Roman" w:eastAsia="Times New Roman" w:hAnsi="Times New Roman" w:cs="Times New Roman"/>
          <w:lang w:val="pt-BR"/>
        </w:rPr>
        <w:t>convênios com o Terceiro Setor</w:t>
      </w:r>
      <w:r w:rsidR="00374525">
        <w:rPr>
          <w:rFonts w:ascii="Times New Roman" w:eastAsia="Times New Roman" w:hAnsi="Times New Roman" w:cs="Times New Roman"/>
          <w:lang w:val="pt-BR"/>
        </w:rPr>
        <w:t xml:space="preserve"> e a retomada desse mecanismo a partir de </w:t>
      </w:r>
      <w:r w:rsidRPr="00B8310D">
        <w:rPr>
          <w:rFonts w:ascii="Times New Roman" w:eastAsia="Times New Roman" w:hAnsi="Times New Roman" w:cs="Times New Roman"/>
          <w:lang w:val="pt-BR"/>
        </w:rPr>
        <w:t xml:space="preserve">2023 (Ramos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 2025).</w:t>
      </w:r>
    </w:p>
    <w:p w14:paraId="70DC3DD6" w14:textId="7986C82C"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No que concerne à intersetorialidade, registram-se estratégias de articulação entre o Ministério do Esporte (MESP) e o Ministério da Educação (MEC), especialmente na interface entre o PST e o Programa Mais Educação. Contudo, essa cooperação foi descontinuada (Seveg</w:t>
      </w:r>
      <w:r w:rsidR="000B6A93">
        <w:rPr>
          <w:rFonts w:ascii="Times New Roman" w:eastAsia="Times New Roman" w:hAnsi="Times New Roman" w:cs="Times New Roman"/>
          <w:lang w:val="pt-BR"/>
        </w:rPr>
        <w:t>n</w:t>
      </w:r>
      <w:r w:rsidRPr="00B8310D">
        <w:rPr>
          <w:rFonts w:ascii="Times New Roman" w:eastAsia="Times New Roman" w:hAnsi="Times New Roman" w:cs="Times New Roman"/>
          <w:lang w:val="pt-BR"/>
        </w:rPr>
        <w:t xml:space="preserve">ani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 xml:space="preserve">., 2019; Signorelli Miguel, 2022). Investigações recentes apontam que, embora prevista nos marcos normativos, a intersetorialidade ainda enfrenta desafios significativos (Ramos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 2026). A descentralização no PST, por sua vez, revelou assimetrias territoriais, com maior concentração de recursos em regiões mais populosas e com elevados índices de desenvolvimento humano (IDH) (Matias, 2013). Nesse sentido, o processo de descentralização por meio de convênios mostrou-se limitado: ao longo da primeira década, o programa alcançou apenas 8,9% dos municípios brasileiros (Santos, 2019; Santos; Andrade; Santos, 2014).</w:t>
      </w:r>
    </w:p>
    <w:p w14:paraId="4C3D23F1" w14:textId="4609832B"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Em termos de financiamento, observa-se um crescimento expressivo dos recursos destinados ao PST entre 2004 e 2011, com um aumento de aproximadamente 338%. Apesar do crescimento dos recursos, na primeira década da política, o programa passou por contingenciamento de financiamento (Castro; Scarpin; Souza, 2017). Dados recentes evidenciam um cenário crítico para o esporte educacional e o PST no Brasil: apesar da ampla demanda institucional por garantir o direito, o alcance do programa, em 2025, foi praticamente inexistente nos municípios, conforme </w:t>
      </w:r>
      <w:r w:rsidR="000E566F">
        <w:rPr>
          <w:rFonts w:ascii="Times New Roman" w:eastAsia="Times New Roman" w:hAnsi="Times New Roman" w:cs="Times New Roman"/>
          <w:lang w:val="pt-BR"/>
        </w:rPr>
        <w:t xml:space="preserve">o </w:t>
      </w:r>
      <w:r w:rsidRPr="00B8310D">
        <w:rPr>
          <w:rFonts w:ascii="Times New Roman" w:eastAsia="Times New Roman" w:hAnsi="Times New Roman" w:cs="Times New Roman"/>
          <w:lang w:val="pt-BR"/>
        </w:rPr>
        <w:t>Parecer (SF) nº 2, de 2026, produzido pela Comissão de Esporte do Senado Federal (Brasil, 2026).</w:t>
      </w:r>
    </w:p>
    <w:p w14:paraId="6098AF4A" w14:textId="71E1EAA6"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Esse contexto demonstra a atualidade da temática e a relevância acadêmica e social do presente artigo para o Estado brasileiro, ao mesmo tempo em que revela um problema estrutural que ultrapassa a dimensão da obrigação do Estado de garantir o direito ao esporte educacional, apontando para a fragilidade da intersetorialidade entre esporte e educação e para a instabilidade do financiamento. Assim, o artigo parte das seguintes questões: </w:t>
      </w:r>
      <w:r w:rsidR="000E566F">
        <w:rPr>
          <w:rFonts w:ascii="Times New Roman" w:eastAsia="Times New Roman" w:hAnsi="Times New Roman" w:cs="Times New Roman"/>
          <w:lang w:val="pt-BR"/>
        </w:rPr>
        <w:t>q</w:t>
      </w:r>
      <w:r w:rsidRPr="00B8310D">
        <w:rPr>
          <w:rFonts w:ascii="Times New Roman" w:eastAsia="Times New Roman" w:hAnsi="Times New Roman" w:cs="Times New Roman"/>
          <w:lang w:val="pt-BR"/>
        </w:rPr>
        <w:t xml:space="preserve">uais são as principais razões para o esvaziamento do financiamento da política de esporte educacional no Brasil e do PST? </w:t>
      </w:r>
      <w:r w:rsidRPr="00B8310D">
        <w:rPr>
          <w:rFonts w:ascii="Times New Roman" w:eastAsia="Times New Roman" w:hAnsi="Times New Roman" w:cs="Times New Roman"/>
          <w:highlight w:val="white"/>
          <w:lang w:val="pt-BR"/>
        </w:rPr>
        <w:t>Quais são os principais desafios da intersetorialidade entre</w:t>
      </w:r>
      <w:r w:rsidR="00822650">
        <w:rPr>
          <w:rFonts w:ascii="Times New Roman" w:eastAsia="Times New Roman" w:hAnsi="Times New Roman" w:cs="Times New Roman"/>
          <w:highlight w:val="white"/>
          <w:lang w:val="pt-BR"/>
        </w:rPr>
        <w:t xml:space="preserve"> o</w:t>
      </w:r>
      <w:r w:rsidRPr="00B8310D">
        <w:rPr>
          <w:rFonts w:ascii="Times New Roman" w:eastAsia="Times New Roman" w:hAnsi="Times New Roman" w:cs="Times New Roman"/>
          <w:highlight w:val="white"/>
          <w:lang w:val="pt-BR"/>
        </w:rPr>
        <w:t xml:space="preserve"> esporte e</w:t>
      </w:r>
      <w:r w:rsidR="00822650">
        <w:rPr>
          <w:rFonts w:ascii="Times New Roman" w:eastAsia="Times New Roman" w:hAnsi="Times New Roman" w:cs="Times New Roman"/>
          <w:highlight w:val="white"/>
          <w:lang w:val="pt-BR"/>
        </w:rPr>
        <w:t xml:space="preserve"> a</w:t>
      </w:r>
      <w:r w:rsidRPr="00B8310D">
        <w:rPr>
          <w:rFonts w:ascii="Times New Roman" w:eastAsia="Times New Roman" w:hAnsi="Times New Roman" w:cs="Times New Roman"/>
          <w:highlight w:val="white"/>
          <w:lang w:val="pt-BR"/>
        </w:rPr>
        <w:t xml:space="preserve"> educação no Brasil?</w:t>
      </w:r>
      <w:r w:rsidRPr="00B8310D">
        <w:rPr>
          <w:rFonts w:ascii="Times New Roman" w:eastAsia="Times New Roman" w:hAnsi="Times New Roman" w:cs="Times New Roman"/>
          <w:lang w:val="pt-BR"/>
        </w:rPr>
        <w:t xml:space="preserve"> O artigo busca analisar a política de esporte educacional no Brasil a partir do esvaziamento do financiamento do PST e dos desafios da intersetorialidade entre </w:t>
      </w:r>
      <w:r w:rsidR="00822650">
        <w:rPr>
          <w:rFonts w:ascii="Times New Roman" w:eastAsia="Times New Roman" w:hAnsi="Times New Roman" w:cs="Times New Roman"/>
          <w:lang w:val="pt-BR"/>
        </w:rPr>
        <w:t xml:space="preserve">o </w:t>
      </w:r>
      <w:r w:rsidRPr="00B8310D">
        <w:rPr>
          <w:rFonts w:ascii="Times New Roman" w:eastAsia="Times New Roman" w:hAnsi="Times New Roman" w:cs="Times New Roman"/>
          <w:lang w:val="pt-BR"/>
        </w:rPr>
        <w:t>esporte e</w:t>
      </w:r>
      <w:r w:rsidR="00822650">
        <w:rPr>
          <w:rFonts w:ascii="Times New Roman" w:eastAsia="Times New Roman" w:hAnsi="Times New Roman" w:cs="Times New Roman"/>
          <w:lang w:val="pt-BR"/>
        </w:rPr>
        <w:t xml:space="preserve"> a</w:t>
      </w:r>
      <w:r w:rsidRPr="00B8310D">
        <w:rPr>
          <w:rFonts w:ascii="Times New Roman" w:eastAsia="Times New Roman" w:hAnsi="Times New Roman" w:cs="Times New Roman"/>
          <w:lang w:val="pt-BR"/>
        </w:rPr>
        <w:t xml:space="preserve"> educação. </w:t>
      </w:r>
    </w:p>
    <w:p w14:paraId="5C898272" w14:textId="77777777" w:rsidR="00E57E64" w:rsidRPr="00B8310D" w:rsidRDefault="00E57E64" w:rsidP="001609E4">
      <w:pPr>
        <w:ind w:firstLine="0"/>
        <w:rPr>
          <w:rFonts w:ascii="Times New Roman" w:eastAsia="Times New Roman" w:hAnsi="Times New Roman" w:cs="Times New Roman"/>
          <w:lang w:val="pt-BR"/>
        </w:rPr>
      </w:pPr>
    </w:p>
    <w:p w14:paraId="225E4414"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2. Referencial Teórico</w:t>
      </w:r>
    </w:p>
    <w:p w14:paraId="156685FD"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artigo fundamenta-se no referencial teórico organizado em três eixos principais: papel do Estado; intersetorialidade e descentralização; e financiamento.</w:t>
      </w:r>
    </w:p>
    <w:p w14:paraId="192F02C5" w14:textId="77777777" w:rsidR="00E57E64" w:rsidRPr="00B8310D" w:rsidRDefault="00E57E64" w:rsidP="001609E4">
      <w:pPr>
        <w:ind w:firstLine="0"/>
        <w:rPr>
          <w:rFonts w:ascii="Times New Roman" w:eastAsia="Times New Roman" w:hAnsi="Times New Roman" w:cs="Times New Roman"/>
          <w:lang w:val="pt-BR"/>
        </w:rPr>
      </w:pPr>
    </w:p>
    <w:p w14:paraId="3B89FA76"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 xml:space="preserve">2.1 Papel do Estado </w:t>
      </w:r>
    </w:p>
    <w:p w14:paraId="375A51DE"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No primeiro eixo, destaca-se a centralidade do papel do Estado no desenvolvimento das ações políticas e dos programas sociais. As políticas públicas podem ser entendidas como o Estado em ação (Muller; Surel, 2002), e a compreensão do Estado deve considerar sua construção histórica, relacional, estrutural e contraditória (Mascaro, 2015).</w:t>
      </w:r>
    </w:p>
    <w:p w14:paraId="1F0372B0"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Parte-se da ideia de que o Estado, na forma como é estruturado, diz respeito à construção moderna e assume diferentes formas (Mascaro, 2015). Nesse sentido, sem a pretensão de abarcar toda a discussão pertinente à temática, destacam-se duas formas de organização do Estado, elementares para orientar a discussão: o Estado de Bem-Estar Social (</w:t>
      </w:r>
      <w:r w:rsidRPr="00B8310D">
        <w:rPr>
          <w:rFonts w:ascii="Times New Roman" w:eastAsia="Times New Roman" w:hAnsi="Times New Roman" w:cs="Times New Roman"/>
          <w:i/>
          <w:iCs/>
          <w:lang w:val="pt-BR"/>
        </w:rPr>
        <w:t>Welfare State</w:t>
      </w:r>
      <w:r w:rsidRPr="00B8310D">
        <w:rPr>
          <w:rFonts w:ascii="Times New Roman" w:eastAsia="Times New Roman" w:hAnsi="Times New Roman" w:cs="Times New Roman"/>
          <w:lang w:val="pt-BR"/>
        </w:rPr>
        <w:t xml:space="preserve">) e o neoliberalismo. </w:t>
      </w:r>
    </w:p>
    <w:p w14:paraId="625396E3"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Após a crise do liberalismo clássico e a Grande Depressão de 1929, os mecanismos de autorregulação dos mercados mostraram-se insuficientes e contribuíram para a adoção de um modelo intervencionista do Estado (Behring; Boschetti, 2016). Nesse contexto, na Europa ocidental, após a Segunda Guerra Mundial, emergiram políticas do chamado </w:t>
      </w:r>
      <w:r w:rsidRPr="00B8310D">
        <w:rPr>
          <w:rFonts w:ascii="Times New Roman" w:eastAsia="Times New Roman" w:hAnsi="Times New Roman" w:cs="Times New Roman"/>
          <w:i/>
          <w:iCs/>
          <w:lang w:val="pt-BR"/>
        </w:rPr>
        <w:t>Welfare State</w:t>
      </w:r>
      <w:r w:rsidRPr="00B8310D">
        <w:rPr>
          <w:rFonts w:ascii="Times New Roman" w:eastAsia="Times New Roman" w:hAnsi="Times New Roman" w:cs="Times New Roman"/>
          <w:lang w:val="pt-BR"/>
        </w:rPr>
        <w:t xml:space="preserve">, entendidas como uma forma de mobilização em larga escala do aparelho de Estado com a finalidade de executar medidas diretamente relacionadas ao bem-estar de sua população (Medeiros, 2001). Tais medidas constituíram-se como resposta à necessidade de acumulação do capital, associadas à ampliação de direitos sociais, sem modificar a estrutura da sociedade. </w:t>
      </w:r>
    </w:p>
    <w:p w14:paraId="3BD07136"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O </w:t>
      </w:r>
      <w:r w:rsidRPr="00B8310D">
        <w:rPr>
          <w:rFonts w:ascii="Times New Roman" w:eastAsia="Times New Roman" w:hAnsi="Times New Roman" w:cs="Times New Roman"/>
          <w:i/>
          <w:iCs/>
          <w:lang w:val="pt-BR"/>
        </w:rPr>
        <w:t>Welfare State</w:t>
      </w:r>
      <w:r w:rsidRPr="00B8310D">
        <w:rPr>
          <w:rFonts w:ascii="Times New Roman" w:eastAsia="Times New Roman" w:hAnsi="Times New Roman" w:cs="Times New Roman"/>
          <w:lang w:val="pt-BR"/>
        </w:rPr>
        <w:t xml:space="preserve">, alinhado ao compromisso social-democrata, começou a dar sinais de esgotamento nos finais dos anos 1960. Nesse cenário, a chegada de uma nova crise econômica em 1973, com baixas taxas de crescimento e aumento da inflação, fez com que as ideias neoliberais ganhassem espaço (Anderson, 1995; Behring; Boschetti, 2016). Para tal linha de pensamento político, o Estado deveria intervir em programas sociais assistenciais, com focalização na população em situação de vulnerabilidade econômica e social, em oposição ao modelo universal de acesso aos direitos. Nesse contexto, o papel do Estado passou a ser reduzido em prol das ações de mercado. Em suma, um Estado forte para garantir o fluxo financeiro, porém fraco para as intervenções econômicas e os gastos sociais (Anderson, 1995; Draibe, 1993). O fato é que tanto as políticas relacionadas ao Estado de Bem-Estar Social quanto as políticas neoliberais foram implementadas de forma distinta pelos diferentes Estados nacionais (Draibe, 1993; Medeiros, 2001). </w:t>
      </w:r>
    </w:p>
    <w:p w14:paraId="3382039D" w14:textId="3F59F859"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No caso brasileiro, de acordo com Medeiros (2001), o </w:t>
      </w:r>
      <w:r w:rsidRPr="00B8310D">
        <w:rPr>
          <w:rFonts w:ascii="Times New Roman" w:eastAsia="Times New Roman" w:hAnsi="Times New Roman" w:cs="Times New Roman"/>
          <w:i/>
          <w:iCs/>
          <w:lang w:val="pt-BR"/>
        </w:rPr>
        <w:t xml:space="preserve">Welfare State </w:t>
      </w:r>
      <w:r w:rsidRPr="00B8310D">
        <w:rPr>
          <w:rFonts w:ascii="Times New Roman" w:eastAsia="Times New Roman" w:hAnsi="Times New Roman" w:cs="Times New Roman"/>
          <w:lang w:val="pt-BR"/>
        </w:rPr>
        <w:t>emergiu a partir de decisões autárquicas e como forma de regular aspectos relativos à organização dos trabalhadores assalariados dos setores modernos da economia e da burocracia.</w:t>
      </w:r>
      <w:r w:rsidR="000E566F">
        <w:rPr>
          <w:rFonts w:ascii="Times New Roman" w:eastAsia="Times New Roman" w:hAnsi="Times New Roman" w:cs="Times New Roman"/>
          <w:lang w:val="pt-BR"/>
        </w:rPr>
        <w:t xml:space="preserve"> </w:t>
      </w:r>
      <w:r w:rsidRPr="00B8310D">
        <w:rPr>
          <w:rFonts w:ascii="Times New Roman" w:eastAsia="Times New Roman" w:hAnsi="Times New Roman" w:cs="Times New Roman"/>
          <w:lang w:val="pt-BR"/>
        </w:rPr>
        <w:t xml:space="preserve">Nesse sentido, cabe dizer que o país não chegou a estruturar um </w:t>
      </w:r>
      <w:r w:rsidRPr="00B8310D">
        <w:rPr>
          <w:rFonts w:ascii="Times New Roman" w:eastAsia="Times New Roman" w:hAnsi="Times New Roman" w:cs="Times New Roman"/>
          <w:i/>
          <w:iCs/>
          <w:lang w:val="pt-BR"/>
        </w:rPr>
        <w:t>Welfare State</w:t>
      </w:r>
      <w:r w:rsidRPr="00B8310D">
        <w:rPr>
          <w:rFonts w:ascii="Times New Roman" w:eastAsia="Times New Roman" w:hAnsi="Times New Roman" w:cs="Times New Roman"/>
          <w:lang w:val="pt-BR"/>
        </w:rPr>
        <w:t xml:space="preserve"> que abarcasse os amplos setores da sociedade. A CF-1988 contemplou e reconheceu os direitos sociais</w:t>
      </w:r>
      <w:r w:rsidR="000E566F">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w:t>
      </w:r>
      <w:r w:rsidR="000E566F">
        <w:rPr>
          <w:rFonts w:ascii="Times New Roman" w:eastAsia="Times New Roman" w:hAnsi="Times New Roman" w:cs="Times New Roman"/>
          <w:lang w:val="pt-BR"/>
        </w:rPr>
        <w:t>N</w:t>
      </w:r>
      <w:r w:rsidRPr="00B8310D">
        <w:rPr>
          <w:rFonts w:ascii="Times New Roman" w:eastAsia="Times New Roman" w:hAnsi="Times New Roman" w:cs="Times New Roman"/>
          <w:lang w:val="pt-BR"/>
        </w:rPr>
        <w:t>o entanto, a partir da década de 1990, logo após a promulgação do texto constitucional, prevaleceram as ideias neoliberais nas reformas do Estado (Draibe, 1993; Behring; Boschetti, 2016). De toda forma, vale frisar que as disputas em torno do papel do Estado e da constituição dos direitos sociais seguem em constante movimento. Nesse sentido, o direito ao esporte configura-se como um devir</w:t>
      </w:r>
      <w:r w:rsidR="009364C2">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e o reconhecimento da prioridade orçamentária ao esporte educacional na CF-1988 abre a possibilidade de sua materialização.</w:t>
      </w:r>
    </w:p>
    <w:p w14:paraId="1DD161B3" w14:textId="77777777" w:rsidR="00E57E64" w:rsidRPr="00B8310D" w:rsidRDefault="00B8310D" w:rsidP="001609E4">
      <w:pPr>
        <w:ind w:firstLine="0"/>
        <w:rPr>
          <w:rFonts w:ascii="Times New Roman" w:eastAsia="Times New Roman" w:hAnsi="Times New Roman" w:cs="Times New Roman"/>
          <w:lang w:val="pt-BR"/>
        </w:rPr>
      </w:pPr>
      <w:r w:rsidRPr="00B8310D">
        <w:rPr>
          <w:rFonts w:ascii="Times New Roman" w:eastAsia="Times New Roman" w:hAnsi="Times New Roman" w:cs="Times New Roman"/>
          <w:b/>
          <w:bCs/>
          <w:color w:val="444444"/>
          <w:lang w:val="pt-BR"/>
        </w:rPr>
        <w:br/>
      </w:r>
      <w:r w:rsidRPr="00B8310D">
        <w:rPr>
          <w:rFonts w:ascii="Times New Roman" w:eastAsia="Times New Roman" w:hAnsi="Times New Roman" w:cs="Times New Roman"/>
          <w:b/>
          <w:bCs/>
          <w:lang w:val="pt-BR"/>
        </w:rPr>
        <w:t xml:space="preserve">2.2 Intersetorialidade e descentralização </w:t>
      </w:r>
    </w:p>
    <w:p w14:paraId="049DC455"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No segundo eixo, destaca-se que a discussão sobre a intersetorialidade emergiu no campo da saúde, ao reconhecer que o processo saúde-doença não se limitava a determinantes biológicos, mas também era influenciado por condições de trabalho, alimentação, moradia, educação, esporte e lazer. Apesar do surgimento nesse campo específico, o conceito passou a ser amplamente utilizado em outros setores das políticas públicas (Andrade, 2006).</w:t>
      </w:r>
    </w:p>
    <w:p w14:paraId="33819C1D"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No contexto do Estado brasileiro, a intersetorialidade ganhou visibilidade a partir da década de 1980, associada a reformas institucionais que passaram a valorizar a participação social e a articulação entre diferentes esferas e atores. Esses arranjos contrapõem-se ao padrão anterior, caracterizado pela fragmentação, centralização e rigidez burocrática, ao mesmo tempo em que ampliam a articulação entre Estado, mercado e sociedade civil (Farah, 2000).</w:t>
      </w:r>
    </w:p>
    <w:p w14:paraId="0E4ED6F6" w14:textId="77777777" w:rsidR="00E57E64" w:rsidRPr="00B8310D" w:rsidRDefault="00B8310D" w:rsidP="001609E4">
      <w:pPr>
        <w:rPr>
          <w:rFonts w:ascii="Times New Roman" w:eastAsia="Times New Roman" w:hAnsi="Times New Roman" w:cs="Times New Roman"/>
          <w:color w:val="FF0000"/>
          <w:lang w:val="pt-BR"/>
        </w:rPr>
      </w:pPr>
      <w:r w:rsidRPr="00B8310D">
        <w:rPr>
          <w:rFonts w:ascii="Times New Roman" w:eastAsia="Times New Roman" w:hAnsi="Times New Roman" w:cs="Times New Roman"/>
          <w:lang w:val="pt-BR"/>
        </w:rPr>
        <w:t>A intersetorialidade configura-se como uma estratégia de gestão orientada à superação dessa fragmentação. Trata-se de um processo que gera tensões institucionais e exige tempo para sua consolidação. Sua efetivação pressupõe a articulação de diferentes saberes, práticas e experiências institucionais, com vistas ao enfrentamento das desigualdades sociais (Junqueira; Inojosa; Komatsu, 1997; Junqueira, 2004). Nesse cenário, a intersetorialidade pode ser compreendida como uma estratégia de gestão pública de caráter democrático, com vistas à promoção da equidade e à ampliação do acesso aos direitos sociais (Wanderley; Martinelli; Paz, 2020).</w:t>
      </w:r>
    </w:p>
    <w:p w14:paraId="0199475B"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 descentralização, por sua vez, refere-se à redistribuição de poderes e competências decisórias para níveis subnacionais. Sua finalidade consiste em reconfigurar os modos de gestão e superar abordagens fragmentadas que o tratam de forma segmentada em ações governamentais específicas (Junqueira; Inojosa; Komatsu, 1997).</w:t>
      </w:r>
    </w:p>
    <w:p w14:paraId="70531312"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Assim, a descentralização compreende um conjunto de princípios voltados ao reequilíbrio das relações político-institucionais e envolve a articulação entre participação e representação sob a centralidade dos direitos. Pressupõe a redefinição das relações entre União, Estados, Municípios e Distrito Federal, com vistas a estabelecer mecanismos de coordenação e cooperação entre os entes federativos (Nogueira, 1997).</w:t>
      </w:r>
    </w:p>
    <w:p w14:paraId="3E0F8F67"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No período posterior à promulgação da CF-1988, o federalismo assumiu papel estruturante na organização do Estado e influenciou diretamente a dinâmica das políticas públicas, o que inclui as políticas de esporte educacional. Conforme destacam Grin e Abrucio (2021), a cooperação federativa é um elemento estratégico para viabilizar a articulação entre diferentes níveis de governo e setores institucionais, o que favorece a integração das ações estatais.</w:t>
      </w:r>
    </w:p>
    <w:p w14:paraId="75FD3D27" w14:textId="77777777" w:rsidR="00E57E64" w:rsidRPr="00B8310D" w:rsidRDefault="00E57E64" w:rsidP="001609E4">
      <w:pPr>
        <w:ind w:firstLine="0"/>
        <w:rPr>
          <w:rFonts w:ascii="Times New Roman" w:eastAsia="Times New Roman" w:hAnsi="Times New Roman" w:cs="Times New Roman"/>
          <w:lang w:val="pt-BR"/>
        </w:rPr>
      </w:pPr>
    </w:p>
    <w:p w14:paraId="0F20001A"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2.3 Financiamento</w:t>
      </w:r>
    </w:p>
    <w:p w14:paraId="59B08D88"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No terceiro eixo, destaca-se a discussão sobre o financiamento e as duas funções do fundo público: de um lado, exerce uma função superestrutural, por meio da qual o Estado regula as condições econômicas e sociais necessárias à reprodução do capital; de outro, cumpre uma função integradora, ao viabilizar a materialização das políticas públicas (Mandel, 1982; Mascarenhas, 2016). Nesse sentido, o orçamento público constitui a expressão mais tangível das prioridades governamentais, ao conferir concretude à ação estatal planejada e ao refletir as escolhas políticas que orientam a alocação de recursos. </w:t>
      </w:r>
    </w:p>
    <w:p w14:paraId="65327B10"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No que diz respeito às fontes de financiamento no Brasil, há três categorias. As </w:t>
      </w:r>
      <w:r w:rsidRPr="00B8310D">
        <w:rPr>
          <w:rFonts w:ascii="Times New Roman" w:eastAsia="Times New Roman" w:hAnsi="Times New Roman" w:cs="Times New Roman"/>
          <w:i/>
          <w:iCs/>
          <w:lang w:val="pt-BR"/>
        </w:rPr>
        <w:t>fontes orçamentárias</w:t>
      </w:r>
      <w:r w:rsidRPr="00B8310D">
        <w:rPr>
          <w:rFonts w:ascii="Times New Roman" w:eastAsia="Times New Roman" w:hAnsi="Times New Roman" w:cs="Times New Roman"/>
          <w:lang w:val="pt-BR"/>
        </w:rPr>
        <w:t xml:space="preserve"> compreendem os recursos previstos no orçamento federal, incluindo receitas ordinárias, provenientes de contribuições sobre concursos prognósticos. Esses são recursos com maior visibilidade, transparência e volume. As </w:t>
      </w:r>
      <w:r w:rsidRPr="00B8310D">
        <w:rPr>
          <w:rFonts w:ascii="Times New Roman" w:eastAsia="Times New Roman" w:hAnsi="Times New Roman" w:cs="Times New Roman"/>
          <w:i/>
          <w:iCs/>
          <w:lang w:val="pt-BR"/>
        </w:rPr>
        <w:t>fontes extraorçamentárias</w:t>
      </w:r>
      <w:r w:rsidRPr="00B8310D">
        <w:rPr>
          <w:rFonts w:ascii="Times New Roman" w:eastAsia="Times New Roman" w:hAnsi="Times New Roman" w:cs="Times New Roman"/>
          <w:lang w:val="pt-BR"/>
        </w:rPr>
        <w:t xml:space="preserve"> são os recursos que não transitam pelo orçamento público e são transferidos diretamente por meio de concursos prognósticos, patrocínios e contribuições incidentes sobre a folha de salários. Por fim, as </w:t>
      </w:r>
      <w:r w:rsidRPr="00B8310D">
        <w:rPr>
          <w:rFonts w:ascii="Times New Roman" w:eastAsia="Times New Roman" w:hAnsi="Times New Roman" w:cs="Times New Roman"/>
          <w:i/>
          <w:iCs/>
          <w:lang w:val="pt-BR"/>
        </w:rPr>
        <w:t>fontes indiretas</w:t>
      </w:r>
      <w:r w:rsidRPr="00B8310D">
        <w:rPr>
          <w:rFonts w:ascii="Times New Roman" w:eastAsia="Times New Roman" w:hAnsi="Times New Roman" w:cs="Times New Roman"/>
          <w:lang w:val="pt-BR"/>
        </w:rPr>
        <w:t xml:space="preserve"> são mecanismos de desoneração tributária, como incentivos fiscais, isenções sobre importações relacionadas a premiações, benefícios concedidos a entidades sem fins lucrativos e desonerações vinculadas à realização de grandes eventos (Mascarenhas, 2016). </w:t>
      </w:r>
    </w:p>
    <w:p w14:paraId="5CA7FACA" w14:textId="79993C7B"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fato é que o orçamento público define a prioridade dos gastos das diferentes esferas de governo e o fundo público está em constante disputa entre diferentes setores da sociedade e áreas de intervenção do Estado por meio das políticas públicas (Salvador, 201</w:t>
      </w:r>
      <w:r w:rsidR="004429D1">
        <w:rPr>
          <w:rFonts w:ascii="Times New Roman" w:eastAsia="Times New Roman" w:hAnsi="Times New Roman" w:cs="Times New Roman"/>
          <w:lang w:val="pt-BR"/>
        </w:rPr>
        <w:t>0</w:t>
      </w:r>
      <w:r w:rsidRPr="00B8310D">
        <w:rPr>
          <w:rFonts w:ascii="Times New Roman" w:eastAsia="Times New Roman" w:hAnsi="Times New Roman" w:cs="Times New Roman"/>
          <w:lang w:val="pt-BR"/>
        </w:rPr>
        <w:t xml:space="preserve">). A partir desse cenário, vale destacar que o esporte educacional no Brasil depende da função orçamentária e não conta com fixação de repasse mínimo anual. </w:t>
      </w:r>
    </w:p>
    <w:p w14:paraId="334CF964" w14:textId="77777777" w:rsidR="00E57E64" w:rsidRPr="00B8310D" w:rsidRDefault="00E57E64" w:rsidP="001609E4">
      <w:pPr>
        <w:ind w:firstLine="0"/>
        <w:rPr>
          <w:rFonts w:ascii="Times New Roman" w:eastAsia="Times New Roman" w:hAnsi="Times New Roman" w:cs="Times New Roman"/>
          <w:lang w:val="pt-BR"/>
        </w:rPr>
      </w:pPr>
    </w:p>
    <w:p w14:paraId="2B083B49"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3. Metodologia</w:t>
      </w:r>
    </w:p>
    <w:p w14:paraId="75D71DB5" w14:textId="3B0BF94E"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Trata-se de uma pesquisa interpretativa, de abordagem qualitativa, organizada em três etapas. Na primeira, realizou-se uma revisão da literatura (</w:t>
      </w:r>
      <w:r w:rsidRPr="00B8310D">
        <w:rPr>
          <w:rFonts w:ascii="Times New Roman" w:eastAsia="Times New Roman" w:hAnsi="Times New Roman" w:cs="Times New Roman"/>
          <w:highlight w:val="white"/>
          <w:lang w:val="pt-BR"/>
        </w:rPr>
        <w:t>Bogdan; Biklen, 1994)</w:t>
      </w:r>
      <w:r w:rsidRPr="00B8310D">
        <w:rPr>
          <w:rFonts w:ascii="Times New Roman" w:eastAsia="Times New Roman" w:hAnsi="Times New Roman" w:cs="Times New Roman"/>
          <w:lang w:val="pt-BR"/>
        </w:rPr>
        <w:t xml:space="preserve"> sobre a temática de investigação. Esse processo foi subsidiado pela revisão sistemática conduzida por Silva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 xml:space="preserve">. </w:t>
      </w:r>
      <w:r w:rsidRPr="006036EF">
        <w:rPr>
          <w:rFonts w:ascii="Times New Roman" w:eastAsia="Times New Roman" w:hAnsi="Times New Roman" w:cs="Times New Roman"/>
        </w:rPr>
        <w:t xml:space="preserve">(2023), que analisou a produção científica referente ao programa no período de 2003 a 2021. </w:t>
      </w:r>
      <w:r w:rsidRPr="00B8310D">
        <w:rPr>
          <w:rFonts w:ascii="Times New Roman" w:eastAsia="Times New Roman" w:hAnsi="Times New Roman" w:cs="Times New Roman"/>
          <w:lang w:val="pt-BR"/>
        </w:rPr>
        <w:t xml:space="preserve">Nesse contexto, procedeu-se à busca por trabalhos publicados entre 2022 e 2026, com o objetivo de complementar a cobertura temporal e contemplar o período mais recente da produção científica sobre a política. </w:t>
      </w:r>
    </w:p>
    <w:p w14:paraId="589B9FD0" w14:textId="06B225D6"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lang w:val="pt-BR"/>
        </w:rPr>
        <w:t>Na segunda etapa, realizou-se uma análise documental (</w:t>
      </w:r>
      <w:r w:rsidRPr="00B8310D">
        <w:rPr>
          <w:rFonts w:ascii="Times New Roman" w:eastAsia="Times New Roman" w:hAnsi="Times New Roman" w:cs="Times New Roman"/>
          <w:highlight w:val="white"/>
          <w:lang w:val="pt-BR"/>
        </w:rPr>
        <w:t>Bogdan; Biklen, 1994)</w:t>
      </w:r>
      <w:r w:rsidRPr="00B8310D">
        <w:rPr>
          <w:rFonts w:ascii="Times New Roman" w:eastAsia="Times New Roman" w:hAnsi="Times New Roman" w:cs="Times New Roman"/>
          <w:lang w:val="pt-BR"/>
        </w:rPr>
        <w:t xml:space="preserve"> do esporte educacional no Brasil, com ênfase no PST. A busca documental foi conduzida por meio da aplicação dos descritores: “esporte educacional” e “Programa Segundo Tempo” nos seguintes repositórios oficiais: Portal da Legislação da Presidência da República; MESP; Câmara dos Deputados; e Senado Federal. Como critérios de inclusão, consideraram-se documentos normativos e institucionais, tais como leis, decretos, pareceres, diretrizes e editais. Como critérios de exclusão, não foram considerados os documentos que não apresentaram relação direta com o objeto de estudo. Nesse sentido, o corpus final foi o seguinte: </w:t>
      </w:r>
      <w:r w:rsidRPr="00B8310D">
        <w:rPr>
          <w:rFonts w:ascii="Times New Roman" w:eastAsia="Times New Roman" w:hAnsi="Times New Roman" w:cs="Times New Roman"/>
          <w:highlight w:val="white"/>
          <w:lang w:val="pt-BR"/>
        </w:rPr>
        <w:t>CF-1988 (Brasil, 1988);</w:t>
      </w:r>
      <w:r w:rsidRPr="00B8310D">
        <w:rPr>
          <w:rFonts w:ascii="Times New Roman" w:eastAsia="Times New Roman" w:hAnsi="Times New Roman" w:cs="Times New Roman"/>
          <w:lang w:val="pt-BR"/>
        </w:rPr>
        <w:t xml:space="preserve"> Lei nº 9.615, de 24 de março de 1998 (Lei Pelé) (Brasil, 1988); Portaria Interministerial </w:t>
      </w:r>
      <w:r w:rsidRPr="00B8310D">
        <w:rPr>
          <w:rFonts w:ascii="Times New Roman" w:eastAsia="Times New Roman" w:hAnsi="Times New Roman" w:cs="Times New Roman"/>
          <w:highlight w:val="white"/>
          <w:lang w:val="pt-BR"/>
        </w:rPr>
        <w:t xml:space="preserve">nº 3.497, de 25 de novembro de  2003 (Brasil, 2003); Relatório de Auditoria Operacional Desporto Educacional (TCU, 2018); </w:t>
      </w:r>
      <w:r w:rsidRPr="00B8310D">
        <w:rPr>
          <w:rFonts w:ascii="Times New Roman" w:eastAsia="Times New Roman" w:hAnsi="Times New Roman" w:cs="Times New Roman"/>
          <w:lang w:val="pt-BR"/>
        </w:rPr>
        <w:t xml:space="preserve">LGE (Brasil, 2023a); Decreto nº 11.766, de 1º de novembro de 2023 (Brasil, 2023b); Diretriz do Programa Segundo Tempo (PST): padrão 2023-2026 (Brasil, 2023c); </w:t>
      </w:r>
      <w:r w:rsidRPr="00B8310D">
        <w:rPr>
          <w:rFonts w:ascii="Times New Roman" w:eastAsia="Times New Roman" w:hAnsi="Times New Roman" w:cs="Times New Roman"/>
          <w:highlight w:val="white"/>
          <w:lang w:val="pt-BR"/>
        </w:rPr>
        <w:t xml:space="preserve">Edital de Chamamento </w:t>
      </w:r>
      <w:r w:rsidR="009364C2">
        <w:rPr>
          <w:rFonts w:ascii="Times New Roman" w:eastAsia="Times New Roman" w:hAnsi="Times New Roman" w:cs="Times New Roman"/>
          <w:highlight w:val="white"/>
          <w:lang w:val="pt-BR"/>
        </w:rPr>
        <w:t>P</w:t>
      </w:r>
      <w:r w:rsidRPr="00B8310D">
        <w:rPr>
          <w:rFonts w:ascii="Times New Roman" w:eastAsia="Times New Roman" w:hAnsi="Times New Roman" w:cs="Times New Roman"/>
          <w:highlight w:val="white"/>
          <w:lang w:val="pt-BR"/>
        </w:rPr>
        <w:t xml:space="preserve">úblico nº 04 de 26 de maio de 2023 (Brasil, 2023d); </w:t>
      </w:r>
      <w:r w:rsidRPr="00B8310D">
        <w:rPr>
          <w:rFonts w:ascii="Times New Roman" w:eastAsia="Times New Roman" w:hAnsi="Times New Roman" w:cs="Times New Roman"/>
          <w:lang w:val="pt-BR"/>
        </w:rPr>
        <w:t xml:space="preserve">Diretrizes </w:t>
      </w:r>
      <w:r w:rsidR="009364C2">
        <w:rPr>
          <w:rFonts w:ascii="Times New Roman" w:eastAsia="Times New Roman" w:hAnsi="Times New Roman" w:cs="Times New Roman"/>
          <w:lang w:val="pt-BR"/>
        </w:rPr>
        <w:t xml:space="preserve">para a </w:t>
      </w:r>
      <w:r w:rsidRPr="00B8310D">
        <w:rPr>
          <w:rFonts w:ascii="Times New Roman" w:eastAsia="Times New Roman" w:hAnsi="Times New Roman" w:cs="Times New Roman"/>
          <w:lang w:val="pt-BR"/>
        </w:rPr>
        <w:t xml:space="preserve">Promulgação das partes vetadas da LGE (Brasil, 2024); </w:t>
      </w:r>
      <w:r w:rsidRPr="00B8310D">
        <w:rPr>
          <w:rFonts w:ascii="Times New Roman" w:eastAsia="Times New Roman" w:hAnsi="Times New Roman" w:cs="Times New Roman"/>
          <w:highlight w:val="white"/>
          <w:lang w:val="pt-BR"/>
        </w:rPr>
        <w:t xml:space="preserve"> Parecer (SF) nº 2, de 2026 (Senado Federal, 2026). </w:t>
      </w:r>
    </w:p>
    <w:p w14:paraId="654EE087" w14:textId="208B84FD"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Na terceira etapa, realizou-se a análise do vídeo da audiência pública, realizada em 2025, que discutiu os resultados e os impactos do PST, promovid</w:t>
      </w:r>
      <w:r w:rsidR="009364C2">
        <w:rPr>
          <w:rFonts w:ascii="Times New Roman" w:eastAsia="Times New Roman" w:hAnsi="Times New Roman" w:cs="Times New Roman"/>
          <w:lang w:val="pt-BR"/>
        </w:rPr>
        <w:t>a</w:t>
      </w:r>
      <w:r w:rsidRPr="00B8310D">
        <w:rPr>
          <w:rFonts w:ascii="Times New Roman" w:eastAsia="Times New Roman" w:hAnsi="Times New Roman" w:cs="Times New Roman"/>
          <w:lang w:val="pt-BR"/>
        </w:rPr>
        <w:t xml:space="preserve"> pela Comissão de Esporte (CEsp) do Senado Federal. A transcrição do vídeo foi realizada por um dos autores e revisada por outro coautor. A audiência foi requerida pelas senadoras Teresa Leitão e Leila Barros e contou com a participação de Paulo Afonso Quermes, chefe de gabinete da Secretaria Nacional de Esporte Amador, Educação, Lazer e Inclusão Social do MESP, Thiago Izzo Storch, Diretor da Unidade de Auditoria Especializada em Educação, Cultura, Esporte e Direitos Humanos do Tribunal de Contas da União (TCU), e a pesquisadora da temática, Juliana Marta Antunes Ramos. O documento transcrito totalizou 14 páginas. Vale ressaltar que a audiência está disponível no </w:t>
      </w:r>
      <w:r w:rsidR="009364C2">
        <w:rPr>
          <w:rFonts w:ascii="Times New Roman" w:eastAsia="Times New Roman" w:hAnsi="Times New Roman" w:cs="Times New Roman"/>
          <w:lang w:val="pt-BR"/>
        </w:rPr>
        <w:t>Y</w:t>
      </w:r>
      <w:r w:rsidRPr="00B8310D">
        <w:rPr>
          <w:rFonts w:ascii="Times New Roman" w:eastAsia="Times New Roman" w:hAnsi="Times New Roman" w:cs="Times New Roman"/>
          <w:lang w:val="pt-BR"/>
        </w:rPr>
        <w:t>ou</w:t>
      </w:r>
      <w:r w:rsidR="009364C2">
        <w:rPr>
          <w:rFonts w:ascii="Times New Roman" w:eastAsia="Times New Roman" w:hAnsi="Times New Roman" w:cs="Times New Roman"/>
          <w:lang w:val="pt-BR"/>
        </w:rPr>
        <w:t>T</w:t>
      </w:r>
      <w:r w:rsidRPr="00B8310D">
        <w:rPr>
          <w:rFonts w:ascii="Times New Roman" w:eastAsia="Times New Roman" w:hAnsi="Times New Roman" w:cs="Times New Roman"/>
          <w:lang w:val="pt-BR"/>
        </w:rPr>
        <w:t xml:space="preserve">ube da TV Senado (Senado Federal, 2025). Por se fundamentar em dados de domínio público, o presente artigo atende aos princípios da pesquisa científica, não sendo necessária a submissão ao Comitê de Ética em Pesquisa. </w:t>
      </w:r>
    </w:p>
    <w:p w14:paraId="1E087F73"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Para interpretação dos dados, empregou-se a análise de conteúdo temática, estruturada em três etapas: a etapa da pré-análise, voltada à organização e sistematização do material e à definição do corpus; a etapa da exploração do material, com leitura aprofundada, codificação e construção das categorias; e por fim, a etapa do tratamento dos resultados, que envolveu a realização de inferências e a interpretação dos dados à luz do referencial teórico adotado. A partir da análise de conteúdo, foram sistematizadas as categorias analíticas emergentes da produção científica e do material empírico, o que permitiu a organização interpretativa dos dados de forma rigorosa, coerente e alinhada aos objetivos da investigação (Bardin, 2009). </w:t>
      </w:r>
    </w:p>
    <w:p w14:paraId="470E218A"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Com base nesse percurso metodológico, foram identificadas e organizadas as seguintes categorias: o papel do Estado na garantia do direito ao esporte educacional; a intersetorialidade e a descentralização entre o esporte e a educação; e o financiamento do esporte educacional e o esvaziamento do PST.</w:t>
      </w:r>
    </w:p>
    <w:p w14:paraId="04297EE8" w14:textId="77777777" w:rsidR="00E57E64" w:rsidRPr="00B8310D" w:rsidRDefault="00E57E64" w:rsidP="001609E4">
      <w:pPr>
        <w:ind w:firstLine="0"/>
        <w:rPr>
          <w:rFonts w:ascii="Times New Roman" w:eastAsia="Times New Roman" w:hAnsi="Times New Roman" w:cs="Times New Roman"/>
          <w:lang w:val="pt-BR"/>
        </w:rPr>
      </w:pPr>
    </w:p>
    <w:p w14:paraId="46F6409B"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4. Resultados</w:t>
      </w:r>
    </w:p>
    <w:p w14:paraId="7019483B" w14:textId="77777777" w:rsidR="00E57E64" w:rsidRPr="00B8310D" w:rsidRDefault="00E57E64" w:rsidP="001609E4">
      <w:pPr>
        <w:ind w:firstLine="0"/>
        <w:rPr>
          <w:rFonts w:ascii="Times New Roman" w:eastAsia="Times New Roman" w:hAnsi="Times New Roman" w:cs="Times New Roman"/>
          <w:b/>
          <w:bCs/>
          <w:lang w:val="pt-BR"/>
        </w:rPr>
      </w:pPr>
    </w:p>
    <w:p w14:paraId="14F4FC0B"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 xml:space="preserve">4.1 O papel do Estado na garantia do direito ao esporte educacional </w:t>
      </w:r>
    </w:p>
    <w:p w14:paraId="1575E82C"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Na primeira categoria “O papel do Estado na garantia do direito ao esporte educacional”, observou-se que </w:t>
      </w:r>
      <w:r w:rsidRPr="00B8310D">
        <w:rPr>
          <w:rFonts w:ascii="Times New Roman" w:eastAsia="Times New Roman" w:hAnsi="Times New Roman" w:cs="Times New Roman"/>
          <w:highlight w:val="white"/>
          <w:lang w:val="pt-BR"/>
        </w:rPr>
        <w:t xml:space="preserve">o primeiro marco regulatório do setor </w:t>
      </w:r>
      <w:r w:rsidRPr="00B8310D">
        <w:rPr>
          <w:rFonts w:ascii="Times New Roman" w:eastAsia="Times New Roman" w:hAnsi="Times New Roman" w:cs="Times New Roman"/>
          <w:lang w:val="pt-BR"/>
        </w:rPr>
        <w:t xml:space="preserve">remonta à década de 1940, com a promulgação do Decreto-Lei nº 3.199, de 14 de abril de 1941 (Castellani Filho, 2008). Posteriormente, na década de 1970, a Lei nº 6.251, de 08 de outubro de 1975, reafirmou e ampliou a regulação estatal no setor </w:t>
      </w:r>
      <w:r w:rsidRPr="00B8310D">
        <w:rPr>
          <w:rFonts w:ascii="Times New Roman" w:eastAsia="Times New Roman" w:hAnsi="Times New Roman" w:cs="Times New Roman"/>
          <w:highlight w:val="white"/>
          <w:lang w:val="pt-BR"/>
        </w:rPr>
        <w:t>(Brasil, 1975).</w:t>
      </w:r>
      <w:r w:rsidRPr="00B8310D">
        <w:rPr>
          <w:rFonts w:ascii="Times New Roman" w:eastAsia="Times New Roman" w:hAnsi="Times New Roman" w:cs="Times New Roman"/>
          <w:lang w:val="pt-BR"/>
        </w:rPr>
        <w:t xml:space="preserve"> Em 1985, com o intuito de subsidiar análises e formular diretrizes para o desenvolvimento do esporte nacional, foi criada a Comissão de Reformulação do Esporte Brasileiro (CREB) (Brasil, 1985). As propostas da CREB contribuíram para a principal base legal do setor, a CF-1988, que descreve o papel do Estado de garantir e fomentar as práticas esportivas formais e não formais, como direito de cada um. Além disso, determina a prioridade de recursos para o esporte educacional, conforme já discutido na introdução (Brasil, 1988).</w:t>
      </w:r>
    </w:p>
    <w:p w14:paraId="67589FF9"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Em conformidade com o texto constitucional, a Lei nº 8.672, de 6 de julho de 1993 (Lei Zico), estabeleceu diretrizes para a organização do esporte no Brasil e sistematizou suas manifestações esportivas (Brasil, 1993). Embora posteriormente substituída pela Lei Pelé, a estrutura relativa às três manifestações do esporte foi preservada: esporte educacional, esporte de participação e esporte de rendimento. </w:t>
      </w:r>
    </w:p>
    <w:p w14:paraId="30C128AA" w14:textId="382707B1" w:rsidR="00723B06" w:rsidRPr="00B8310D" w:rsidRDefault="00B8310D" w:rsidP="00655FFF">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O esporte educacional foi definido como o</w:t>
      </w:r>
      <w:r w:rsidR="00723B06" w:rsidRPr="00B8310D">
        <w:rPr>
          <w:rFonts w:ascii="Times New Roman" w:eastAsia="Times New Roman" w:hAnsi="Times New Roman" w:cs="Times New Roman"/>
          <w:sz w:val="20"/>
          <w:szCs w:val="20"/>
          <w:lang w:val="pt-BR"/>
        </w:rPr>
        <w:t xml:space="preserve"> </w:t>
      </w:r>
      <w:r w:rsidRPr="00B8310D">
        <w:rPr>
          <w:rFonts w:ascii="Times New Roman" w:eastAsia="Times New Roman" w:hAnsi="Times New Roman" w:cs="Times New Roman"/>
          <w:sz w:val="20"/>
          <w:szCs w:val="20"/>
          <w:lang w:val="pt-BR"/>
        </w:rPr>
        <w:t xml:space="preserve">[...] praticado nos sistemas de ensino e em formas assistemáticas de educação, evitando-se a seletividade, a hipercompetitividade de seus praticantes, com a finalidade de alcançar o desenvolvimento integral do indivíduo e a sua formação para o exercício da cidadania e a prática do lazer (Brasil, 1998). </w:t>
      </w:r>
    </w:p>
    <w:p w14:paraId="6F3923B7" w14:textId="77777777" w:rsidR="00655FFF" w:rsidRPr="00B8310D" w:rsidRDefault="00655FFF" w:rsidP="00655FFF">
      <w:pPr>
        <w:spacing w:line="240" w:lineRule="auto"/>
        <w:ind w:left="2268" w:firstLine="0"/>
        <w:rPr>
          <w:rFonts w:ascii="Times New Roman" w:eastAsia="Times New Roman" w:hAnsi="Times New Roman" w:cs="Times New Roman"/>
          <w:lang w:val="pt-BR"/>
        </w:rPr>
      </w:pPr>
    </w:p>
    <w:p w14:paraId="2FA5AAA8"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segunda manifestação diz respeito ao esporte de participação, de forma voluntária, relacionada ao lazer, à integração dos praticantes, à promoção da saúde e à educação. A terceira manifestação corresponde ao esporte de rendimento, praticado segundo as regras nacionais e internacionais, com a finalidade de obter resultados (Brasil, 1998). </w:t>
      </w:r>
    </w:p>
    <w:p w14:paraId="0190C6A0" w14:textId="1008CC24"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Apesar dessas delimitações, </w:t>
      </w:r>
      <w:r w:rsidRPr="00B8310D">
        <w:rPr>
          <w:rFonts w:ascii="Times New Roman" w:eastAsia="Times New Roman" w:hAnsi="Times New Roman" w:cs="Times New Roman"/>
          <w:highlight w:val="white"/>
          <w:lang w:val="pt-BR"/>
        </w:rPr>
        <w:t xml:space="preserve">na década de 1990, poucos foram os investimentos e os avanços em relação ao esporte enquanto direito (Matias, 2013). </w:t>
      </w:r>
      <w:r w:rsidRPr="00B8310D">
        <w:rPr>
          <w:rFonts w:ascii="Times New Roman" w:eastAsia="Times New Roman" w:hAnsi="Times New Roman" w:cs="Times New Roman"/>
          <w:lang w:val="pt-BR"/>
        </w:rPr>
        <w:t>Nos anos 2000, as manifestações esportivas se tornaram referência para a formulação de políticas esportivas no Brasil, especialmente após a criação do MESP, em 2003</w:t>
      </w:r>
      <w:r w:rsidR="00A26BA8">
        <w:rPr>
          <w:rFonts w:ascii="Times New Roman" w:eastAsia="Times New Roman" w:hAnsi="Times New Roman" w:cs="Times New Roman"/>
          <w:lang w:val="pt-BR"/>
        </w:rPr>
        <w:t>. Nesse momento</w:t>
      </w:r>
      <w:r w:rsidRPr="00B8310D">
        <w:rPr>
          <w:rFonts w:ascii="Times New Roman" w:eastAsia="Times New Roman" w:hAnsi="Times New Roman" w:cs="Times New Roman"/>
          <w:lang w:val="pt-BR"/>
        </w:rPr>
        <w:t xml:space="preserve">, </w:t>
      </w:r>
      <w:r w:rsidRPr="00B8310D">
        <w:rPr>
          <w:rFonts w:ascii="Times New Roman" w:eastAsia="Times New Roman" w:hAnsi="Times New Roman" w:cs="Times New Roman"/>
          <w:highlight w:val="white"/>
          <w:lang w:val="pt-BR"/>
        </w:rPr>
        <w:t>foram estabelecidas secretarias finalísticas em atendimento às diferentes manifestações esportivas (educacional, participação e rendimento). Por consequência, ocorreu a</w:t>
      </w:r>
      <w:r w:rsidRPr="00B8310D">
        <w:rPr>
          <w:rFonts w:ascii="Times New Roman" w:eastAsia="Times New Roman" w:hAnsi="Times New Roman" w:cs="Times New Roman"/>
          <w:lang w:val="pt-BR"/>
        </w:rPr>
        <w:t xml:space="preserve"> implementação do PST, no mesmo ano, com o objetivo de garantir a manifestação do esporte educacional como direito, bem como promover o bem-estar físico, a inclusão social e o desenvolvimento integral de crianças e adolescentes (Brasil, 2003). </w:t>
      </w:r>
    </w:p>
    <w:p w14:paraId="2A20A891" w14:textId="4EA34696"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promulgação da LGE, em 2023, ampliou a compreensão sobre o esporte educacional, em relação </w:t>
      </w:r>
      <w:r w:rsidR="00A26BA8" w:rsidRPr="00B8310D">
        <w:rPr>
          <w:rFonts w:ascii="Times New Roman" w:eastAsia="Times New Roman" w:hAnsi="Times New Roman" w:cs="Times New Roman"/>
          <w:lang w:val="pt-BR"/>
        </w:rPr>
        <w:t>à Lei</w:t>
      </w:r>
      <w:r w:rsidRPr="00B8310D">
        <w:rPr>
          <w:rFonts w:ascii="Times New Roman" w:eastAsia="Times New Roman" w:hAnsi="Times New Roman" w:cs="Times New Roman"/>
          <w:lang w:val="pt-BR"/>
        </w:rPr>
        <w:t xml:space="preserve"> Pelé, Art. 10: </w:t>
      </w:r>
    </w:p>
    <w:p w14:paraId="1BCB0560" w14:textId="62AF62C9"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 xml:space="preserve">Considera-se esporte educacional aquele praticado nos sistemas de ensino e em formas assistemáticas de educação, evitando-se a seletividade e a hipercompetitividade de seus praticantes, com a finalidade de alcançar o desenvolvimento integral, físico e intelectual, do indivíduo e a sua formação para o exercício da cidadania e para a prática do lazer, visando à integração social dos estudantes e à melhoria de sua qualidade de vida (Brasil, 2023a). </w:t>
      </w:r>
    </w:p>
    <w:p w14:paraId="71290243" w14:textId="77777777" w:rsidR="00723B06" w:rsidRPr="00B8310D" w:rsidRDefault="00723B06" w:rsidP="00723B06">
      <w:pPr>
        <w:spacing w:line="240" w:lineRule="auto"/>
        <w:ind w:left="2268" w:firstLine="0"/>
        <w:rPr>
          <w:rFonts w:ascii="Times New Roman" w:eastAsia="Times New Roman" w:hAnsi="Times New Roman" w:cs="Times New Roman"/>
          <w:lang w:val="pt-BR"/>
        </w:rPr>
      </w:pPr>
    </w:p>
    <w:p w14:paraId="569A04CC" w14:textId="6A4AEC7E"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Além disso, essa legislação reforça a prioridade de recursos ao esporte educacional e acrescenta a conceituação </w:t>
      </w:r>
      <w:r w:rsidR="00C72851" w:rsidRPr="00822650">
        <w:rPr>
          <w:rFonts w:ascii="Times New Roman" w:eastAsia="Times New Roman" w:hAnsi="Times New Roman" w:cs="Times New Roman"/>
          <w:lang w:val="pt-BR"/>
        </w:rPr>
        <w:t xml:space="preserve">da </w:t>
      </w:r>
      <w:r w:rsidRPr="00822650">
        <w:rPr>
          <w:rFonts w:ascii="Times New Roman" w:eastAsia="Times New Roman" w:hAnsi="Times New Roman" w:cs="Times New Roman"/>
          <w:lang w:val="pt-BR"/>
        </w:rPr>
        <w:t xml:space="preserve">prática </w:t>
      </w:r>
      <w:r w:rsidRPr="00B8310D">
        <w:rPr>
          <w:rFonts w:ascii="Times New Roman" w:eastAsia="Times New Roman" w:hAnsi="Times New Roman" w:cs="Times New Roman"/>
          <w:lang w:val="pt-BR"/>
        </w:rPr>
        <w:t xml:space="preserve">esportiva, dividida em três níveis distintos e sem relação de hierarquia entre si. </w:t>
      </w:r>
      <w:r w:rsidR="00A26BA8">
        <w:rPr>
          <w:rFonts w:ascii="Times New Roman" w:eastAsia="Times New Roman" w:hAnsi="Times New Roman" w:cs="Times New Roman"/>
          <w:lang w:val="pt-BR"/>
        </w:rPr>
        <w:t>O</w:t>
      </w:r>
      <w:r w:rsidRPr="00B8310D">
        <w:rPr>
          <w:rFonts w:ascii="Times New Roman" w:eastAsia="Times New Roman" w:hAnsi="Times New Roman" w:cs="Times New Roman"/>
          <w:lang w:val="pt-BR"/>
        </w:rPr>
        <w:t xml:space="preserve"> primeir</w:t>
      </w:r>
      <w:r w:rsidR="00A26BA8">
        <w:rPr>
          <w:rFonts w:ascii="Times New Roman" w:eastAsia="Times New Roman" w:hAnsi="Times New Roman" w:cs="Times New Roman"/>
          <w:lang w:val="pt-BR"/>
        </w:rPr>
        <w:t>o</w:t>
      </w:r>
      <w:r w:rsidRPr="00B8310D">
        <w:rPr>
          <w:rFonts w:ascii="Times New Roman" w:eastAsia="Times New Roman" w:hAnsi="Times New Roman" w:cs="Times New Roman"/>
          <w:lang w:val="pt-BR"/>
        </w:rPr>
        <w:t xml:space="preserve"> diz respeito à “formação esportiva”, com práticas esportivas inclusivas, educativas, culturais e lúdicas para crianças e adolescentes, com ênfase no desenvolvimento integral. Inclui, ainda, a vivência esportiva em busca de uma base ampla e variada de movimento, por meio da oferta sistemática de múltiplas práticas corporais e modalidades esportivas. </w:t>
      </w:r>
      <w:r w:rsidR="00A26BA8">
        <w:rPr>
          <w:rFonts w:ascii="Times New Roman" w:eastAsia="Times New Roman" w:hAnsi="Times New Roman" w:cs="Times New Roman"/>
          <w:lang w:val="pt-BR"/>
        </w:rPr>
        <w:t xml:space="preserve">O </w:t>
      </w:r>
      <w:r w:rsidRPr="00B8310D">
        <w:rPr>
          <w:rFonts w:ascii="Times New Roman" w:eastAsia="Times New Roman" w:hAnsi="Times New Roman" w:cs="Times New Roman"/>
          <w:lang w:val="pt-BR"/>
        </w:rPr>
        <w:t>segund</w:t>
      </w:r>
      <w:r w:rsidR="00A26BA8">
        <w:rPr>
          <w:rFonts w:ascii="Times New Roman" w:eastAsia="Times New Roman" w:hAnsi="Times New Roman" w:cs="Times New Roman"/>
          <w:lang w:val="pt-BR"/>
        </w:rPr>
        <w:t xml:space="preserve">o nível </w:t>
      </w:r>
      <w:r w:rsidRPr="00B8310D">
        <w:rPr>
          <w:rFonts w:ascii="Times New Roman" w:eastAsia="Times New Roman" w:hAnsi="Times New Roman" w:cs="Times New Roman"/>
          <w:lang w:val="pt-BR"/>
        </w:rPr>
        <w:t xml:space="preserve"> corresponde ao “esporte para toda a vida”, na aprendizagem e no acesso de todos como forma de lazer, com ênfase no desenvolvimento humano e na cidadania. Esse nível de prática envolve ainda a atividade física, o esporte competitivo como forma de manutenção da prática, o esporte social como forma de inclusão, bem como o esporte como reabilitação, habilitação e saúde, na continuidade da prática. </w:t>
      </w:r>
      <w:r w:rsidR="00A26BA8">
        <w:rPr>
          <w:rFonts w:ascii="Times New Roman" w:eastAsia="Times New Roman" w:hAnsi="Times New Roman" w:cs="Times New Roman"/>
          <w:lang w:val="pt-BR"/>
        </w:rPr>
        <w:t>O</w:t>
      </w:r>
      <w:r w:rsidRPr="00B8310D">
        <w:rPr>
          <w:rFonts w:ascii="Times New Roman" w:eastAsia="Times New Roman" w:hAnsi="Times New Roman" w:cs="Times New Roman"/>
          <w:lang w:val="pt-BR"/>
        </w:rPr>
        <w:t xml:space="preserve"> terceir</w:t>
      </w:r>
      <w:r w:rsidR="00A26BA8">
        <w:rPr>
          <w:rFonts w:ascii="Times New Roman" w:eastAsia="Times New Roman" w:hAnsi="Times New Roman" w:cs="Times New Roman"/>
          <w:lang w:val="pt-BR"/>
        </w:rPr>
        <w:t>o</w:t>
      </w:r>
      <w:r w:rsidRPr="00B8310D">
        <w:rPr>
          <w:rFonts w:ascii="Times New Roman" w:eastAsia="Times New Roman" w:hAnsi="Times New Roman" w:cs="Times New Roman"/>
          <w:lang w:val="pt-BR"/>
        </w:rPr>
        <w:t xml:space="preserve"> se refere à “excelência esportiva” e abrange o treinamento sistemático na formação de atletas na busca do alto rendimento, a especialização esportiva, na consolidação dos atletas em formação, o aperfeiçoamento esportivo de atletas regionais e nacionais, o alto rendimento de atletas em competições nacionais e internacionais, além da transição de carreira, na conciliação da educação formal com o treinamento (Brasil, 2023a). </w:t>
      </w:r>
    </w:p>
    <w:p w14:paraId="6DB6E68A" w14:textId="177D315A" w:rsidR="00E57E64" w:rsidRPr="00B8310D" w:rsidRDefault="00A26BA8"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Parecer</w:t>
      </w:r>
      <w:r w:rsidR="00B8310D" w:rsidRPr="00B8310D">
        <w:rPr>
          <w:rFonts w:ascii="Times New Roman" w:eastAsia="Times New Roman" w:hAnsi="Times New Roman" w:cs="Times New Roman"/>
          <w:lang w:val="pt-BR"/>
        </w:rPr>
        <w:t xml:space="preserve"> (SF) nº 2, de 2026, destaca os níveis da prática esportiva da LGE, que: </w:t>
      </w:r>
    </w:p>
    <w:p w14:paraId="3B423032" w14:textId="387F5C1B"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723B06">
        <w:rPr>
          <w:rFonts w:ascii="Times New Roman" w:eastAsia="Times New Roman" w:hAnsi="Times New Roman" w:cs="Times New Roman"/>
          <w:sz w:val="20"/>
          <w:szCs w:val="20"/>
        </w:rPr>
        <w:t xml:space="preserve">[...] passou a definir também os níveis da prática esportiva (formação, excelência e esporte para toda a vida), reforçando a centralidade do esporte educacional num ciclo contínuo de formação. </w:t>
      </w:r>
      <w:r w:rsidRPr="00B8310D">
        <w:rPr>
          <w:rFonts w:ascii="Times New Roman" w:eastAsia="Times New Roman" w:hAnsi="Times New Roman" w:cs="Times New Roman"/>
          <w:sz w:val="20"/>
          <w:szCs w:val="20"/>
          <w:lang w:val="pt-BR"/>
        </w:rPr>
        <w:t>Destacou ainda que o art. 10 da LGE oferece definição expressa do esporte educacional, consolidando seu estatuto jurídico como direito social (Senado Federal, 2026, p. 11).</w:t>
      </w:r>
    </w:p>
    <w:p w14:paraId="76779E66" w14:textId="77777777" w:rsidR="00723B06" w:rsidRPr="00B8310D" w:rsidRDefault="00723B06" w:rsidP="00723B06">
      <w:pPr>
        <w:spacing w:line="240" w:lineRule="auto"/>
        <w:ind w:left="2268" w:firstLine="0"/>
        <w:rPr>
          <w:rFonts w:ascii="Times New Roman" w:eastAsia="Times New Roman" w:hAnsi="Times New Roman" w:cs="Times New Roman"/>
          <w:lang w:val="pt-BR"/>
        </w:rPr>
      </w:pPr>
    </w:p>
    <w:p w14:paraId="753FC4EE" w14:textId="14C5A12C"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Em relação à universalização do direito ao esporte, tanto a LGE como a Diretriz do PST – Padrão 2023-2026 destacam esse princípio. A LGE, em seu Art. 11, inciso V, apresenta como objetivo “apoiar a universalização da prática esportiva, com atenção especial ao atendimento ao nível da formação esportiva”. Além disso, no Art. 39, destaca que “O poder público fomentará a prática esportiva, com a destinação de recursos que possibilitem sua universalização, e sempre priorizará o esporte educacional” (Brasil, 2023a). A Diretriz do PST – Padrão 2023-2026, da mesma forma, traz como princípio do programa a “A universalização e inclusão social do esporte </w:t>
      </w:r>
      <w:r w:rsidR="00A26BA8" w:rsidRPr="00B8310D">
        <w:rPr>
          <w:rFonts w:ascii="Times New Roman" w:eastAsia="Times New Roman" w:hAnsi="Times New Roman" w:cs="Times New Roman"/>
          <w:lang w:val="pt-BR"/>
        </w:rPr>
        <w:t>educacional” (</w:t>
      </w:r>
      <w:r w:rsidRPr="00B8310D">
        <w:rPr>
          <w:rFonts w:ascii="Times New Roman" w:eastAsia="Times New Roman" w:hAnsi="Times New Roman" w:cs="Times New Roman"/>
          <w:lang w:val="pt-BR"/>
        </w:rPr>
        <w:t>Brasil, 2023c).</w:t>
      </w:r>
    </w:p>
    <w:p w14:paraId="2A72C557" w14:textId="2300B131"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No plano institucional, o PST alcançou abrangência nacional, foi perene como política pública ao longo do tempo, evidenciada por sua inserção </w:t>
      </w:r>
      <w:r w:rsidR="00A26BA8" w:rsidRPr="00B8310D">
        <w:rPr>
          <w:rFonts w:ascii="Times New Roman" w:eastAsia="Times New Roman" w:hAnsi="Times New Roman" w:cs="Times New Roman"/>
          <w:lang w:val="pt-BR"/>
        </w:rPr>
        <w:t>nos Planos</w:t>
      </w:r>
      <w:r w:rsidRPr="00B8310D">
        <w:rPr>
          <w:rFonts w:ascii="Times New Roman" w:eastAsia="Times New Roman" w:hAnsi="Times New Roman" w:cs="Times New Roman"/>
          <w:lang w:val="pt-BR"/>
        </w:rPr>
        <w:t xml:space="preserve"> Plurianuais (PPAs) da União em distintos ciclos governamentais, Lula da Silva (2003-2010; 2023-atualidade), Dilma Rousseff (2011-2016), Michel Temer (2016-2018) e Jair Bolsonaro (2019-2022). No entanto, embora presente no planejamento governamental, o PST enfrentou limitações estruturais decorrentes de sua não constituição como política de Estado, o que o tornou suscetível às descontinuidades, reorientações e fragilidades institucionais em diferentes governos (Ramos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w:t>
      </w:r>
      <w:r w:rsidR="00A26BA8">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2025).</w:t>
      </w:r>
    </w:p>
    <w:p w14:paraId="10095D38"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lang w:val="pt-BR"/>
        </w:rPr>
        <w:t>Apesar das suas modificações, a Diretriz do PST – Padrão 2023-2026, vigente no momento da coleta de dados, descreve que o objetivo do programa é: “Democratizar o acesso de estudantes da Educação Básica às práticas corporais e esportivas, oferecendo núcleos de esporte educacional, visando o desenvolvimento integral de crianças, adolescentes, jovens e adultos no contexto ampliado de escolarização” (Brasil, 2023c).</w:t>
      </w:r>
    </w:p>
    <w:p w14:paraId="5249F32D" w14:textId="6AAB1196" w:rsidR="00E57E64" w:rsidRPr="00B8310D" w:rsidRDefault="00A26BA8"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Parecer</w:t>
      </w:r>
      <w:r w:rsidR="00B8310D" w:rsidRPr="00B8310D">
        <w:rPr>
          <w:rFonts w:ascii="Times New Roman" w:eastAsia="Times New Roman" w:hAnsi="Times New Roman" w:cs="Times New Roman"/>
          <w:lang w:val="pt-BR"/>
        </w:rPr>
        <w:t xml:space="preserve"> (SF) nº 2, de 2026, destacou e reafirmou as mudanças no decurso da política: “Ao longo de sua trajetória, o PST atravessou diferentes </w:t>
      </w:r>
      <w:r w:rsidRPr="00B8310D">
        <w:rPr>
          <w:rFonts w:ascii="Times New Roman" w:eastAsia="Times New Roman" w:hAnsi="Times New Roman" w:cs="Times New Roman"/>
          <w:lang w:val="pt-BR"/>
        </w:rPr>
        <w:t>arranjos governamentais</w:t>
      </w:r>
      <w:r w:rsidR="00B8310D" w:rsidRPr="00B8310D">
        <w:rPr>
          <w:rFonts w:ascii="Times New Roman" w:eastAsia="Times New Roman" w:hAnsi="Times New Roman" w:cs="Times New Roman"/>
          <w:lang w:val="pt-BR"/>
        </w:rPr>
        <w:t>, reformulações orçamentárias e reconfigurações administrativas” (Senado Federal, 2026, p. 04).</w:t>
      </w:r>
      <w:r w:rsidR="00B8310D" w:rsidRPr="00B8310D">
        <w:rPr>
          <w:rFonts w:ascii="Times New Roman" w:eastAsia="Times New Roman" w:hAnsi="Times New Roman" w:cs="Times New Roman"/>
          <w:color w:val="FF0000"/>
          <w:lang w:val="pt-BR"/>
        </w:rPr>
        <w:t xml:space="preserve">  </w:t>
      </w:r>
    </w:p>
    <w:p w14:paraId="7A02EA46"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Na audiência pública, realizada em 2025, no Senado Federal, o Sr. Paulo Afonso Quermes apontou para o papel do Estado na materialização das políticas públicas:                      </w:t>
      </w:r>
    </w:p>
    <w:p w14:paraId="76617187" w14:textId="3F93A126"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723B06">
        <w:rPr>
          <w:rFonts w:ascii="Times New Roman" w:eastAsia="Times New Roman" w:hAnsi="Times New Roman" w:cs="Times New Roman"/>
          <w:sz w:val="20"/>
          <w:szCs w:val="20"/>
        </w:rPr>
        <w:t xml:space="preserve">[...] o Programa Segundo Tempo constitui uma das mais relevantes políticas públicas de esporte implementadas pelo Estado brasileiro nas últimas décadas. </w:t>
      </w:r>
      <w:r w:rsidRPr="00B8310D">
        <w:rPr>
          <w:rFonts w:ascii="Times New Roman" w:eastAsia="Times New Roman" w:hAnsi="Times New Roman" w:cs="Times New Roman"/>
          <w:sz w:val="20"/>
          <w:szCs w:val="20"/>
          <w:lang w:val="pt-BR"/>
        </w:rPr>
        <w:t>Sua concepção se fundamenta na democratização do acesso ao esporte, na promoção da inclusão social e na garantia de oportunidades a crianças, adolescentes e jovens em situação de vulnerabilidade (Senado Federal, 2025).</w:t>
      </w:r>
    </w:p>
    <w:p w14:paraId="3AD16207" w14:textId="77777777" w:rsidR="00723B06" w:rsidRPr="00B8310D" w:rsidRDefault="00723B06" w:rsidP="00723B06">
      <w:pPr>
        <w:spacing w:line="240" w:lineRule="auto"/>
        <w:ind w:left="2268" w:firstLine="0"/>
        <w:rPr>
          <w:rFonts w:ascii="Times New Roman" w:eastAsia="Times New Roman" w:hAnsi="Times New Roman" w:cs="Times New Roman"/>
          <w:lang w:val="pt-BR"/>
        </w:rPr>
      </w:pPr>
    </w:p>
    <w:p w14:paraId="134D354B" w14:textId="72BFAEF8"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Na mesma audiência, o Sr. </w:t>
      </w:r>
      <w:r w:rsidR="00A26BA8" w:rsidRPr="00B8310D">
        <w:rPr>
          <w:rFonts w:ascii="Times New Roman" w:eastAsia="Times New Roman" w:hAnsi="Times New Roman" w:cs="Times New Roman"/>
          <w:lang w:val="pt-BR"/>
        </w:rPr>
        <w:t>Thiago Izzo</w:t>
      </w:r>
      <w:r w:rsidRPr="00B8310D">
        <w:rPr>
          <w:rFonts w:ascii="Times New Roman" w:eastAsia="Times New Roman" w:hAnsi="Times New Roman" w:cs="Times New Roman"/>
          <w:lang w:val="pt-BR"/>
        </w:rPr>
        <w:t xml:space="preserve"> Storch, representante do TCU, destacou que:</w:t>
      </w:r>
    </w:p>
    <w:p w14:paraId="3248E2BE" w14:textId="58306738"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723B06">
        <w:rPr>
          <w:rFonts w:ascii="Times New Roman" w:eastAsia="Times New Roman" w:hAnsi="Times New Roman" w:cs="Times New Roman"/>
          <w:sz w:val="20"/>
          <w:szCs w:val="20"/>
        </w:rPr>
        <w:t xml:space="preserve">[...] não existe, de maneira formal, uma política nacional de desporto educacional, mas várias ações. </w:t>
      </w:r>
      <w:r w:rsidRPr="00B8310D">
        <w:rPr>
          <w:rFonts w:ascii="Times New Roman" w:eastAsia="Times New Roman" w:hAnsi="Times New Roman" w:cs="Times New Roman"/>
          <w:sz w:val="20"/>
          <w:szCs w:val="20"/>
          <w:lang w:val="pt-BR"/>
        </w:rPr>
        <w:t xml:space="preserve">Eu caminho nesse sentido, e por que esse trabalho foi feito? Porque a Constituição coloca como prioridade, na alocação dos recursos </w:t>
      </w:r>
      <w:r w:rsidR="00A26BA8" w:rsidRPr="00B8310D">
        <w:rPr>
          <w:rFonts w:ascii="Times New Roman" w:eastAsia="Times New Roman" w:hAnsi="Times New Roman" w:cs="Times New Roman"/>
          <w:sz w:val="20"/>
          <w:szCs w:val="20"/>
          <w:lang w:val="pt-BR"/>
        </w:rPr>
        <w:t>públicos, essa</w:t>
      </w:r>
      <w:r w:rsidRPr="00B8310D">
        <w:rPr>
          <w:rFonts w:ascii="Times New Roman" w:eastAsia="Times New Roman" w:hAnsi="Times New Roman" w:cs="Times New Roman"/>
          <w:sz w:val="20"/>
          <w:szCs w:val="20"/>
          <w:lang w:val="pt-BR"/>
        </w:rPr>
        <w:t xml:space="preserve"> manifestação esportiva educacional. Dentro dessa fiscalização, o PST foi analisado, e o próprio relatório de auditoria expressa que o Programa Segundo Tempo é a maior intervenção do governo federal na manifestação de desporto educacional (Senado Federal, 2025).</w:t>
      </w:r>
    </w:p>
    <w:p w14:paraId="70EC80B2" w14:textId="77777777" w:rsidR="00723B06" w:rsidRPr="00B8310D" w:rsidRDefault="00723B06" w:rsidP="00723B06">
      <w:pPr>
        <w:spacing w:line="240" w:lineRule="auto"/>
        <w:ind w:left="2268" w:firstLine="0"/>
        <w:rPr>
          <w:rFonts w:ascii="Times New Roman" w:eastAsia="Times New Roman" w:hAnsi="Times New Roman" w:cs="Times New Roman"/>
          <w:lang w:val="pt-BR"/>
        </w:rPr>
      </w:pPr>
    </w:p>
    <w:p w14:paraId="03816B2F" w14:textId="06EEDD75" w:rsidR="00E57E64" w:rsidRPr="00B8310D" w:rsidRDefault="00B8310D" w:rsidP="00723B06">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partir de tais elementos, observou-se a centralidade do Estado, no que tange à garantia do esporte educacional, ao mesmo tempo que mostra a ausência de uma política nacional. O PST corresponde à principal ação política de esporte educacional no Brasil, mas não se estruturou como política de Estado. </w:t>
      </w:r>
    </w:p>
    <w:p w14:paraId="207BF929" w14:textId="77777777" w:rsidR="00723B06" w:rsidRPr="00B8310D" w:rsidRDefault="00723B06" w:rsidP="00723B06">
      <w:pPr>
        <w:rPr>
          <w:rFonts w:ascii="Times New Roman" w:eastAsia="Times New Roman" w:hAnsi="Times New Roman" w:cs="Times New Roman"/>
          <w:lang w:val="pt-BR"/>
        </w:rPr>
      </w:pPr>
    </w:p>
    <w:p w14:paraId="16F9AABD"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4.2 A intersetorialidade e a descentralização entre o esporte e a educação</w:t>
      </w:r>
    </w:p>
    <w:p w14:paraId="0317E523" w14:textId="61F5063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análise da segunda categoria, “A intersetorialidade e a descentralização entre o esporte e a educação”, demonstra que a criação do PST como programa de esporte educacional apresenta potencialidade ou “vocação” intersetorial. O programa foi instituído por meio da Portaria Interministerial </w:t>
      </w:r>
      <w:r w:rsidRPr="00B8310D">
        <w:rPr>
          <w:rFonts w:ascii="Times New Roman" w:eastAsia="Times New Roman" w:hAnsi="Times New Roman" w:cs="Times New Roman"/>
          <w:highlight w:val="white"/>
          <w:lang w:val="pt-BR"/>
        </w:rPr>
        <w:t xml:space="preserve">nº 3.497, de 25 de novembro </w:t>
      </w:r>
      <w:r w:rsidR="00A26BA8" w:rsidRPr="00B8310D">
        <w:rPr>
          <w:rFonts w:ascii="Times New Roman" w:eastAsia="Times New Roman" w:hAnsi="Times New Roman" w:cs="Times New Roman"/>
          <w:highlight w:val="white"/>
          <w:lang w:val="pt-BR"/>
        </w:rPr>
        <w:t>de 2003</w:t>
      </w:r>
      <w:r w:rsidRPr="00B8310D">
        <w:rPr>
          <w:rFonts w:ascii="Times New Roman" w:eastAsia="Times New Roman" w:hAnsi="Times New Roman" w:cs="Times New Roman"/>
          <w:highlight w:val="white"/>
          <w:lang w:val="pt-BR"/>
        </w:rPr>
        <w:t>,</w:t>
      </w:r>
      <w:r w:rsidRPr="00B8310D">
        <w:rPr>
          <w:rFonts w:ascii="Times New Roman" w:eastAsia="Times New Roman" w:hAnsi="Times New Roman" w:cs="Times New Roman"/>
          <w:lang w:val="pt-BR"/>
        </w:rPr>
        <w:t xml:space="preserve"> entre o MESP e o MEC, em consideração ao Protocolo de Intenções que visava à implementação de programas relacionados ao esporte no ensino fundamental, bem como na articulação entre o esporte e a educação, no contraturno escolar e no desenvolvimento da escola em tempo integral, conforme trecho: </w:t>
      </w:r>
    </w:p>
    <w:p w14:paraId="07D19B0C" w14:textId="4F124ABF"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 xml:space="preserve">Art. 1º Instituir o Projeto Segundo Tempo, iniciativa governamental de fomento à prática esportiva, de natureza socioeducacional, em benefício de estudantes de estabelecimentos de ensino público do Brasil. Art. 2º O Projeto Segundo Tempo será executado por meio de atividades esportivas no contraturno escolar, como fator de contribuição para o desenvolvimento da escola em tempo integral (Brasil, 2003). </w:t>
      </w:r>
    </w:p>
    <w:p w14:paraId="6F92F54A" w14:textId="77777777" w:rsidR="00723B06" w:rsidRPr="00B8310D" w:rsidRDefault="00723B06" w:rsidP="00723B06">
      <w:pPr>
        <w:spacing w:line="240" w:lineRule="auto"/>
        <w:ind w:left="2268" w:firstLine="0"/>
        <w:rPr>
          <w:rFonts w:ascii="Times New Roman" w:eastAsia="Times New Roman" w:hAnsi="Times New Roman" w:cs="Times New Roman"/>
          <w:lang w:val="pt-BR"/>
        </w:rPr>
      </w:pPr>
    </w:p>
    <w:p w14:paraId="0F35D1C3" w14:textId="575F8A45"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portaria mencionada apresenta indícios de uma gestão intersetorial, mas sem definições claras de responsabilidades entre o MESP e o MEC. O documento menciona o incentivo </w:t>
      </w:r>
      <w:r w:rsidR="000B6A93">
        <w:rPr>
          <w:rFonts w:ascii="Times New Roman" w:eastAsia="Times New Roman" w:hAnsi="Times New Roman" w:cs="Times New Roman"/>
          <w:lang w:val="pt-BR"/>
        </w:rPr>
        <w:t>à</w:t>
      </w:r>
      <w:r w:rsidRPr="00B8310D">
        <w:rPr>
          <w:rFonts w:ascii="Times New Roman" w:eastAsia="Times New Roman" w:hAnsi="Times New Roman" w:cs="Times New Roman"/>
          <w:lang w:val="pt-BR"/>
        </w:rPr>
        <w:t xml:space="preserve"> integração do PST ao planejamento escolar, porém de forma imprecisa e sem detalhar seu funcionamento (Brasil, 2003). </w:t>
      </w:r>
    </w:p>
    <w:p w14:paraId="1EBCD45F" w14:textId="77777777" w:rsidR="00E57E64" w:rsidRPr="00B8310D" w:rsidRDefault="00B8310D" w:rsidP="001609E4">
      <w:pPr>
        <w:rPr>
          <w:rFonts w:ascii="Times New Roman" w:eastAsia="Times New Roman" w:hAnsi="Times New Roman" w:cs="Times New Roman"/>
          <w:b/>
          <w:bCs/>
          <w:lang w:val="pt-BR"/>
        </w:rPr>
      </w:pPr>
      <w:r w:rsidRPr="00B8310D">
        <w:rPr>
          <w:rFonts w:ascii="Times New Roman" w:eastAsia="Times New Roman" w:hAnsi="Times New Roman" w:cs="Times New Roman"/>
          <w:lang w:val="pt-BR"/>
        </w:rPr>
        <w:t xml:space="preserve">Em 2010, o MESP e o MEC indicaram mais uma tentativa de intersetorialidade por meio da parceria entre o PST e o Programa Mais Educação. Nesse contexto, entre 2012 e 2015, o PST Mais Educação superou o número de beneficiários do PST Padrão (Sevegnani </w:t>
      </w:r>
      <w:r w:rsidRPr="00B8310D">
        <w:rPr>
          <w:rFonts w:ascii="Times New Roman" w:eastAsia="Times New Roman" w:hAnsi="Times New Roman" w:cs="Times New Roman"/>
          <w:i/>
          <w:iCs/>
          <w:lang w:val="pt-BR"/>
        </w:rPr>
        <w:t>et al</w:t>
      </w:r>
      <w:r w:rsidRPr="00B8310D">
        <w:rPr>
          <w:rFonts w:ascii="Times New Roman" w:eastAsia="Times New Roman" w:hAnsi="Times New Roman" w:cs="Times New Roman"/>
          <w:lang w:val="pt-BR"/>
        </w:rPr>
        <w:t xml:space="preserve">., 2019). O </w:t>
      </w:r>
      <w:r w:rsidRPr="00B8310D">
        <w:rPr>
          <w:rFonts w:ascii="Times New Roman" w:eastAsia="Times New Roman" w:hAnsi="Times New Roman" w:cs="Times New Roman"/>
          <w:highlight w:val="white"/>
          <w:lang w:val="pt-BR"/>
        </w:rPr>
        <w:t xml:space="preserve">Parecer (SF) nº 2, de 2026, resgata o histórico do PST e a articulação com a educação no seguinte trecho: </w:t>
      </w:r>
    </w:p>
    <w:p w14:paraId="4447CAE1" w14:textId="322B5733" w:rsidR="00723B06"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 xml:space="preserve">No plano histórico, lembrou que o PST surge em 2003, simultaneamente à criação do Mesp, originalmente vinculado a uma portaria interministerial entre MEC </w:t>
      </w:r>
      <w:r w:rsidR="00952B06" w:rsidRPr="00B8310D">
        <w:rPr>
          <w:rFonts w:ascii="Times New Roman" w:eastAsia="Times New Roman" w:hAnsi="Times New Roman" w:cs="Times New Roman"/>
          <w:sz w:val="20"/>
          <w:szCs w:val="20"/>
          <w:lang w:val="pt-BR"/>
        </w:rPr>
        <w:t>e Mesp</w:t>
      </w:r>
      <w:r w:rsidRPr="00B8310D">
        <w:rPr>
          <w:rFonts w:ascii="Times New Roman" w:eastAsia="Times New Roman" w:hAnsi="Times New Roman" w:cs="Times New Roman"/>
          <w:sz w:val="20"/>
          <w:szCs w:val="20"/>
          <w:lang w:val="pt-BR"/>
        </w:rPr>
        <w:t xml:space="preserve"> – origem que evidencia sua vocação para a intersetorialidade. Nos anos subsequentes, o programa se articulou também com o Mais Educação, mantendo-se ativo em distintas gestões federais, embora com variações estruturais e de prioridade política (Senado Federal, 2026, p. 11). </w:t>
      </w:r>
    </w:p>
    <w:p w14:paraId="4CBE430D" w14:textId="77777777" w:rsidR="00723B06" w:rsidRPr="00B8310D" w:rsidRDefault="00723B06" w:rsidP="00723B06">
      <w:pPr>
        <w:spacing w:line="240" w:lineRule="auto"/>
        <w:ind w:left="2268" w:firstLine="0"/>
        <w:rPr>
          <w:rFonts w:ascii="Times New Roman" w:eastAsia="Times New Roman" w:hAnsi="Times New Roman" w:cs="Times New Roman"/>
          <w:sz w:val="20"/>
          <w:szCs w:val="20"/>
          <w:lang w:val="pt-BR"/>
        </w:rPr>
      </w:pPr>
    </w:p>
    <w:p w14:paraId="09BB14CE" w14:textId="7CB85EEA"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Em 2023, na LGE, a intersetorialidade voltou a ser destacada e foi contemplada no Art. 12</w:t>
      </w:r>
      <w:r w:rsidR="00EF7E22">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“VI - colaboração intersetorial entre esporte e outras áreas, como saúde, educação, cultura, proteção da criança e do adolescente, trabalho e emprego e assistência social” e “IX - descentralização e articulação da política esportiva e de lazer”; e no Art. 16</w:t>
      </w:r>
      <w:r w:rsidR="00EF7E22">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“VII - promover articulação com órgãos educacionais e com entidades representativas para formação de recursos humanos na área do esporte” e no “Parágrafo único"</w:t>
      </w:r>
      <w:r w:rsidR="00EF7E22">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“Compete ao Poder Executivo coordenar as ações intersetoriais no âmbito da União” (Brasil, 2023a).</w:t>
      </w:r>
    </w:p>
    <w:p w14:paraId="6919CA79" w14:textId="11397CD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intersetorialidade entre os setores de esporte, educação e saúde é mencionada nos princípios e nas diretrizes de colaboração, no entanto, sua formulação permanece imprecisa e carece de definições operacionais quanto às responsabilidades. Na interface com a educação, a LGE não explicita o PST, mas reconhece que as crianças e os adolescentes devem ter acesso ao nível de prática da formação esportiva (Brasil, 2023a). Além disso, define as competências dos entes federados: os estados, conforme Art. 17, inciso III, devem “destinar recursos prioritariamente para programas e ações que visem o desenvolvimento e a manutenção do esporte educacional; e os municípios, Art. 18. “II - executar políticas públicas esportivas em todos os níveis, com fomento prioritário ao esporte educacional”.  </w:t>
      </w:r>
    </w:p>
    <w:p w14:paraId="1D79612C" w14:textId="481E3C28"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partir da articulação entre os entes federados, coordenada pela União, é possível a construção de uma política intersetorial perene com conceitos precisos, em prol do esporte educacional no país. Nesse contexto, o </w:t>
      </w:r>
      <w:r w:rsidRPr="00B8310D">
        <w:rPr>
          <w:rFonts w:ascii="Times New Roman" w:eastAsia="Times New Roman" w:hAnsi="Times New Roman" w:cs="Times New Roman"/>
          <w:highlight w:val="white"/>
          <w:lang w:val="pt-BR"/>
        </w:rPr>
        <w:t xml:space="preserve">Parecer (SF) nº 2, de 2026, apontou </w:t>
      </w:r>
      <w:r w:rsidR="00EF7E22">
        <w:rPr>
          <w:rFonts w:ascii="Times New Roman" w:eastAsia="Times New Roman" w:hAnsi="Times New Roman" w:cs="Times New Roman"/>
          <w:highlight w:val="white"/>
          <w:lang w:val="pt-BR"/>
        </w:rPr>
        <w:t>como</w:t>
      </w:r>
      <w:r w:rsidR="00EF7E22" w:rsidRPr="00B8310D">
        <w:rPr>
          <w:rFonts w:ascii="Times New Roman" w:eastAsia="Times New Roman" w:hAnsi="Times New Roman" w:cs="Times New Roman"/>
          <w:highlight w:val="white"/>
          <w:lang w:val="pt-BR"/>
        </w:rPr>
        <w:t xml:space="preserve"> </w:t>
      </w:r>
      <w:r w:rsidRPr="00B8310D">
        <w:rPr>
          <w:rFonts w:ascii="Times New Roman" w:eastAsia="Times New Roman" w:hAnsi="Times New Roman" w:cs="Times New Roman"/>
          <w:highlight w:val="white"/>
          <w:lang w:val="pt-BR"/>
        </w:rPr>
        <w:t xml:space="preserve">recomendação do TCU que: </w:t>
      </w:r>
    </w:p>
    <w:p w14:paraId="6DF36B20" w14:textId="366BCB70"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A primeira recomendação dizia respeito à necessidade de fortalecimento das parcerias institucionais, sobretudo com o MEC e com o Ministério da Defesa, responsável pela execução do Programa Forças no Esporte (PROFESP), além dos entes federativos. Tal articulação deveria servir para conferir maior perenidade e estabilidade às ações do PST, reduzindo a dependência de convênios fragmentados e ampliando a integração com outras iniciativas estruturantes da política educacional e de desenvolvimento social. Como observado pelo expositor, essa diretriz permanece atual, especialmente diante da recente institucionalização do Sistema Nacional do Esporte (SNE) pela Lei Geral do Esporte, que estabelece bases para um arranjo cooperativo (Senado Federal, 2026, p. 10).</w:t>
      </w:r>
    </w:p>
    <w:p w14:paraId="201BE216" w14:textId="77777777" w:rsidR="00723B06" w:rsidRPr="00B8310D" w:rsidRDefault="00723B06" w:rsidP="00723B06">
      <w:pPr>
        <w:spacing w:line="240" w:lineRule="auto"/>
        <w:ind w:left="2268" w:firstLine="0"/>
        <w:rPr>
          <w:rFonts w:ascii="Times New Roman" w:eastAsia="Times New Roman" w:hAnsi="Times New Roman" w:cs="Times New Roman"/>
          <w:color w:val="FF0000"/>
          <w:lang w:val="pt-BR"/>
        </w:rPr>
      </w:pPr>
    </w:p>
    <w:p w14:paraId="2E6189B6" w14:textId="518E0072"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Outro mecanismo que contribui para essa perspectiva diz respeito ao Decreto nº 11.766</w:t>
      </w:r>
      <w:r w:rsidR="00EF7E22">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de 2023, que cria a Rede de Desenvolvimento do Esporte, como ação intersetorial voltada à promoção da prática esportiva e da atividade física no país, no âmbito do Sistema Nacional do Esporte. A norma define três componentes centrais: a rede local, entendida como a articulação de atores e equipamentos responsáveis pela implementação das práticas nos diferentes níveis, formação esportiva, esporte ao longo da vida e excelência esportiva; o núcleo catalisador, caracterizado como o equipamento social cuja equipe assume a coordenação territorial da rede, com funções de orientação e sistematização de informações para o órgão federal competente; e o agente de mobilização, responsável por fomentar a adesão às atividades, ampliar sua divulgação e apoiar a atuação do núcleo catalisador (Brasil, 2023b).</w:t>
      </w:r>
    </w:p>
    <w:p w14:paraId="6EECD1EC"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Art. 4 do mesmo decreto descreve “[...] a intersetorialidade na gestão das ações e das políticas do esporte e seu papel indutor na integração de outras políticas sociais, como saúde, educação e assistência social”. A Rede de Desenvolvimento do Esporte tem como propósito ampliar a oferta de equipamentos esportivos, valorizar as potencialidades locais e fortalecer os resultados das políticas públicas orientadas à inclusão social (Brasil, 2023b).</w:t>
      </w:r>
    </w:p>
    <w:p w14:paraId="0E3E3D87" w14:textId="4AF69BD4"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documento incorpora a intersetorialidade como eixo de gestão, a ser operacionalizada por meio da articulação entre o Estado e a sociedade civil, com destaque para os conselhos e as conferências. A proposta intersetorial envolve diferentes ministérios. A coordenação cabe ao MESP, responsável por definir indicadores, metodologias e processos de monitoramento e avaliação, em articulação com os entes federativos e as organizações sociais. O Ministério do Desenvolvimento e Assistência Social, Família e Combate à Fome contribui com dados sobre vulnerabilidade e integração ao Sistema Único de Assistência Social (SUAS). O Ministério da Saúde atua na promoção da saúde e na produção de informações por meio do Sistema Único de Saúde (SUS). O MEC fomenta a educação integral, fortalece a Educação Física e disponibiliza dados sobre infraestrutura escolar por meio do Inep (B</w:t>
      </w:r>
      <w:r w:rsidR="00EF7E22">
        <w:rPr>
          <w:rFonts w:ascii="Times New Roman" w:eastAsia="Times New Roman" w:hAnsi="Times New Roman" w:cs="Times New Roman"/>
          <w:lang w:val="pt-BR"/>
        </w:rPr>
        <w:t>rasil</w:t>
      </w:r>
      <w:r w:rsidRPr="00B8310D">
        <w:rPr>
          <w:rFonts w:ascii="Times New Roman" w:eastAsia="Times New Roman" w:hAnsi="Times New Roman" w:cs="Times New Roman"/>
          <w:lang w:val="pt-BR"/>
        </w:rPr>
        <w:t>, 2023b).</w:t>
      </w:r>
    </w:p>
    <w:p w14:paraId="04CB2203" w14:textId="260A7AF8"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Diferentemente da LGE, o Decreto nº 11.766</w:t>
      </w:r>
      <w:r w:rsidR="007E6A63">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de 2023</w:t>
      </w:r>
      <w:r w:rsidR="007E6A63">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faz menção direta ao PST. Em seu Art. 9º, destaca que cabe ao MEC: “I - promover a integração das respectivas iniciativas de educação integral ao Programa Segundo Tempo, do Ministério do Esporte, nas redes de ensino públicas” (Brasil, 2023b). </w:t>
      </w:r>
    </w:p>
    <w:p w14:paraId="7FE488E1" w14:textId="0C937605"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 Diretriz do PST – Padrão 2023-2026, por outro lado, não menciona a intersetorialidade, tampouco o MEC na articulação da Rede de Desenvolvimento do Esporte (Brasil, 2023c). Porém, suas diretrizes sinalizam a escola em vários trechos do documento, em especial quanto ao público-alvo do PST: “[...] crianças, adolescentes, jovens e adultos, estudantes do ensino médio e educação de jovens e adultos (EJA), com faixa etária a partir de 06 anos de idade, prioritariamente estudantes matriculados na Educação Básica nas escolas públicas” (Brasil, 2023c, p. 06).</w:t>
      </w:r>
    </w:p>
    <w:p w14:paraId="7D641DFD"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documento aponta ainda para o ambiente escolar, como local de práticas esportivas oferecidas pelo programa, ao destacar que:</w:t>
      </w:r>
    </w:p>
    <w:p w14:paraId="1449C466" w14:textId="77777777" w:rsidR="00723B06"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O núcleo de esporte educacional do Programa Segundo Tempo (PST) – Padrão pode ser estabelecido em escolas ou em espaços comunitários (públicos ou privados). As atividades são desenvolvidas no contraturno escolar e os espaços físicos devem ser adequados às práticas corporais elencadas no Projeto Técnico Pedagógico - PTP (Brasil, 2023c, p. 9-10).</w:t>
      </w:r>
    </w:p>
    <w:p w14:paraId="0BB1ACE3" w14:textId="2F7E1DCB" w:rsidR="00E57E64" w:rsidRPr="00B8310D" w:rsidRDefault="00B8310D" w:rsidP="00723B06">
      <w:pPr>
        <w:spacing w:line="240" w:lineRule="auto"/>
        <w:ind w:left="2268" w:firstLine="0"/>
        <w:rPr>
          <w:rFonts w:ascii="Times New Roman" w:eastAsia="Times New Roman" w:hAnsi="Times New Roman" w:cs="Times New Roman"/>
          <w:color w:val="FF0000"/>
          <w:lang w:val="pt-BR"/>
        </w:rPr>
      </w:pPr>
      <w:r w:rsidRPr="00B8310D">
        <w:rPr>
          <w:rFonts w:ascii="Times New Roman" w:eastAsia="Times New Roman" w:hAnsi="Times New Roman" w:cs="Times New Roman"/>
          <w:color w:val="FF0000"/>
          <w:lang w:val="pt-BR"/>
        </w:rPr>
        <w:t xml:space="preserve"> </w:t>
      </w:r>
    </w:p>
    <w:p w14:paraId="3A4247CC" w14:textId="17532DFD"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As diretrizes recomendam que “[...] é importante mapear os espaços das escolas e das comunidades próximas, de modo a verificar quais atividades serão possíveis desenvolver e como fazê-las” (Brasil, 2023c, p. 19). O documento aponta ainda que se espera com o desenvolvimento do programa a “[...] melhoria dos espaços com acessibilidade em que se praticam esportes e atividades físicas nos municípios, sejam eles nas escolas ou nas comunidades” (Brasil, 2023c, p. 8).</w:t>
      </w:r>
    </w:p>
    <w:p w14:paraId="1BC933F4" w14:textId="073A488B"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 partir das recomendações do documento</w:t>
      </w:r>
      <w:r w:rsidR="007E6A63">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é notória a necessidade de articulação com a educação. </w:t>
      </w:r>
      <w:r w:rsidRPr="006036EF">
        <w:rPr>
          <w:rFonts w:ascii="Times New Roman" w:eastAsia="Times New Roman" w:hAnsi="Times New Roman" w:cs="Times New Roman"/>
        </w:rPr>
        <w:t xml:space="preserve">De acordo com Ramos </w:t>
      </w:r>
      <w:r w:rsidRPr="006036EF">
        <w:rPr>
          <w:rFonts w:ascii="Times New Roman" w:eastAsia="Times New Roman" w:hAnsi="Times New Roman" w:cs="Times New Roman"/>
          <w:i/>
          <w:iCs/>
        </w:rPr>
        <w:t>et</w:t>
      </w:r>
      <w:r w:rsidRPr="006036EF">
        <w:rPr>
          <w:rFonts w:ascii="Times New Roman" w:eastAsia="Times New Roman" w:hAnsi="Times New Roman" w:cs="Times New Roman"/>
        </w:rPr>
        <w:t xml:space="preserve"> </w:t>
      </w:r>
      <w:r w:rsidRPr="006036EF">
        <w:rPr>
          <w:rFonts w:ascii="Times New Roman" w:eastAsia="Times New Roman" w:hAnsi="Times New Roman" w:cs="Times New Roman"/>
          <w:i/>
          <w:iCs/>
        </w:rPr>
        <w:t>al</w:t>
      </w:r>
      <w:r w:rsidRPr="006036EF">
        <w:rPr>
          <w:rFonts w:ascii="Times New Roman" w:eastAsia="Times New Roman" w:hAnsi="Times New Roman" w:cs="Times New Roman"/>
        </w:rPr>
        <w:t xml:space="preserve">. (2026), as primeiras Diretrizes do PST, de 2003 a 2005-2006, apresentavam proximidade com o contexto escolar e com a Educação Física, mas a partir de uma perspectiva de acesso ao esporte de modo genérico. </w:t>
      </w:r>
      <w:r w:rsidRPr="00B8310D">
        <w:rPr>
          <w:rFonts w:ascii="Times New Roman" w:eastAsia="Times New Roman" w:hAnsi="Times New Roman" w:cs="Times New Roman"/>
          <w:lang w:val="pt-BR"/>
        </w:rPr>
        <w:t xml:space="preserve">A partir das Diretrizes do PST 2007-2008, nota-se uma aproximação com a educação não formal, seguida de uma inflexão relacionada ao caráter funcionalista do esporte. </w:t>
      </w:r>
    </w:p>
    <w:p w14:paraId="10DADF20"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highlight w:val="white"/>
          <w:lang w:val="pt-BR"/>
        </w:rPr>
        <w:t>Do ponto de vista da descentralização, a LGE foi contemplada como princípio no Art. 2 e como instrumento de políticas esportivas. O Art. 11 detalha que a descentralização ocorrerá “[...] nas diferentes esferas governamentais, realizam-se por meio do Sistema Nacional do Esporte (Sinesp), sistema descentralizado, democrático e participativo”, com objetivos de “VIII - promover a descentralização e a articulação da política esportiva e de lazer” e “XI - articular níveis e serviços da prática esportiva, para implementação conjunta de políticas, de programas e de ações” (Brasil, 2023a).</w:t>
      </w:r>
    </w:p>
    <w:p w14:paraId="37AE8D0B"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highlight w:val="white"/>
          <w:lang w:val="pt-BR"/>
        </w:rPr>
        <w:t>A LGE estabelece como diretrizes a articulação entre os entes federativos, a definição de competências, a racionalização do uso de recursos públicos e a articulação em diferentes níveis. Nesse contexto, a descentralização é prevista no Art. 15 como princípio estruturante da gestão dessas políticas:</w:t>
      </w:r>
    </w:p>
    <w:p w14:paraId="5B744953" w14:textId="0E13636C" w:rsidR="00E57E64" w:rsidRPr="00B8310D" w:rsidRDefault="00B8310D" w:rsidP="00723B06">
      <w:pPr>
        <w:spacing w:line="240" w:lineRule="auto"/>
        <w:ind w:left="2268" w:firstLine="0"/>
        <w:rPr>
          <w:rFonts w:ascii="Times New Roman" w:eastAsia="Times New Roman" w:hAnsi="Times New Roman" w:cs="Times New Roman"/>
          <w:sz w:val="20"/>
          <w:szCs w:val="20"/>
          <w:highlight w:val="white"/>
          <w:lang w:val="pt-BR"/>
        </w:rPr>
      </w:pPr>
      <w:r w:rsidRPr="00B8310D">
        <w:rPr>
          <w:rFonts w:ascii="Times New Roman" w:eastAsia="Times New Roman" w:hAnsi="Times New Roman" w:cs="Times New Roman"/>
          <w:sz w:val="20"/>
          <w:szCs w:val="20"/>
          <w:highlight w:val="white"/>
          <w:lang w:val="pt-BR"/>
        </w:rPr>
        <w:t>As ações das três esferas de governo na área esportiva realizam-se de forma articulada, observado que, entre outras atribuições, cabe a coordenação e edição de normas gerais à esfera federal e a coordenação e execução dos programas descentralizados, nas respectivas esferas, aos Estados, ao Distrito Federal e aos Municípios, devendo promover a execução de políticas públicas direcionadas ao esporte, inclusive com a cooperação dos clubes e das associações esportivas de cada modalidade (Brasil, 2024).</w:t>
      </w:r>
    </w:p>
    <w:p w14:paraId="768523AD" w14:textId="77777777" w:rsidR="00723B06" w:rsidRPr="00B8310D" w:rsidRDefault="00723B06" w:rsidP="00723B06">
      <w:pPr>
        <w:spacing w:line="240" w:lineRule="auto"/>
        <w:ind w:left="2268" w:firstLine="0"/>
        <w:rPr>
          <w:rFonts w:ascii="Times New Roman" w:eastAsia="Times New Roman" w:hAnsi="Times New Roman" w:cs="Times New Roman"/>
          <w:highlight w:val="white"/>
          <w:lang w:val="pt-BR"/>
        </w:rPr>
      </w:pPr>
    </w:p>
    <w:p w14:paraId="172DD3B7"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highlight w:val="white"/>
          <w:lang w:val="pt-BR"/>
        </w:rPr>
        <w:t xml:space="preserve">A Diretriz do PST – Padrão 2023-2026 estabelece que a operacionalização do programa se orienta por um modelo de planejamento descentralizado, associado a uma gestão articulada. Nesse contexto, a implementação dos núcleos ocorre por meio da formalização de convênios ou termos de colaboração entre o MESP e entes subnacionais, bem como com as Organizações da Sociedade Civil (Brasil, 2023c). </w:t>
      </w:r>
    </w:p>
    <w:p w14:paraId="541FCFCC" w14:textId="77777777" w:rsidR="00E57E64" w:rsidRPr="006036EF" w:rsidRDefault="00B8310D" w:rsidP="001609E4">
      <w:pPr>
        <w:rPr>
          <w:rFonts w:ascii="Times New Roman" w:eastAsia="Times New Roman" w:hAnsi="Times New Roman" w:cs="Times New Roman"/>
          <w:highlight w:val="white"/>
        </w:rPr>
      </w:pPr>
      <w:r w:rsidRPr="00B8310D">
        <w:rPr>
          <w:rFonts w:ascii="Times New Roman" w:eastAsia="Times New Roman" w:hAnsi="Times New Roman" w:cs="Times New Roman"/>
          <w:highlight w:val="white"/>
          <w:lang w:val="pt-BR"/>
        </w:rPr>
        <w:t xml:space="preserve">O Parecer (SF) nº 2, de 2026, descreve que a implementação do PST concentra-se em municípios de maior capacidade institucional, gerando exclusão de territórios vulneráveis e reforçando as desigualdades regionais. </w:t>
      </w:r>
      <w:r w:rsidRPr="006036EF">
        <w:rPr>
          <w:rFonts w:ascii="Times New Roman" w:eastAsia="Times New Roman" w:hAnsi="Times New Roman" w:cs="Times New Roman"/>
          <w:highlight w:val="white"/>
        </w:rPr>
        <w:t>O documento descreve a discussão da audiência pública e:</w:t>
      </w:r>
    </w:p>
    <w:p w14:paraId="66EA7355" w14:textId="3EC7FF31" w:rsidR="00E57E64" w:rsidRDefault="00B8310D" w:rsidP="00723B06">
      <w:pPr>
        <w:spacing w:line="240" w:lineRule="auto"/>
        <w:ind w:left="2268" w:firstLine="0"/>
        <w:rPr>
          <w:rFonts w:ascii="Times New Roman" w:eastAsia="Times New Roman" w:hAnsi="Times New Roman" w:cs="Times New Roman"/>
          <w:sz w:val="20"/>
          <w:szCs w:val="20"/>
        </w:rPr>
      </w:pPr>
      <w:r w:rsidRPr="00723B06">
        <w:rPr>
          <w:rFonts w:ascii="Times New Roman" w:eastAsia="Times New Roman" w:hAnsi="Times New Roman" w:cs="Times New Roman"/>
          <w:sz w:val="20"/>
          <w:szCs w:val="20"/>
          <w:highlight w:val="white"/>
        </w:rPr>
        <w:t>[...] a dificuldade de descentralização efetiva do programa para municípios com menores índices de desenvolvimento e condições precárias de infraestrutura esportiva [...] localidades com melhores indicadores sociais e maior capacidade administrativa tendem a acessar o PST com mais facilidade, enquanto municípios mais vulneráveis enfrentam barreiras técnicas, operacionais e financeiras (Senado Federal, 2026, p. 12).</w:t>
      </w:r>
    </w:p>
    <w:p w14:paraId="258F77CB" w14:textId="77777777" w:rsidR="00723B06" w:rsidRPr="006036EF" w:rsidRDefault="00723B06" w:rsidP="00723B06">
      <w:pPr>
        <w:spacing w:line="240" w:lineRule="auto"/>
        <w:ind w:left="2268" w:firstLine="0"/>
        <w:rPr>
          <w:rFonts w:ascii="Times New Roman" w:eastAsia="Times New Roman" w:hAnsi="Times New Roman" w:cs="Times New Roman"/>
        </w:rPr>
      </w:pPr>
    </w:p>
    <w:p w14:paraId="4B577E50"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A análise revela que a articulação entre o esporte e a educação apresenta um caráter programático, normativo e não estruturante, com fragilidade nas definições das competências, na integração curricular da escola, com contínua dependência de iniciativas locais. </w:t>
      </w:r>
    </w:p>
    <w:p w14:paraId="76959541"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Colocados esses elementos, vale destacar que o esporte educacional nunca se materializou como política intersetorial do sistema de ensino e não foi descentralizado em todo o território nacional.  Nesse sentido, apesar das menções e dos indícios na legislação, as políticas de esporte educacional e o PST não podem ser compreendidos como ações intersetoriais no país. </w:t>
      </w:r>
    </w:p>
    <w:p w14:paraId="638BE8C7" w14:textId="77777777" w:rsidR="00E57E64" w:rsidRPr="00B8310D" w:rsidRDefault="00E57E64" w:rsidP="001609E4">
      <w:pPr>
        <w:ind w:firstLine="0"/>
        <w:rPr>
          <w:rFonts w:ascii="Times New Roman" w:eastAsia="Times New Roman" w:hAnsi="Times New Roman" w:cs="Times New Roman"/>
          <w:lang w:val="pt-BR"/>
        </w:rPr>
      </w:pPr>
    </w:p>
    <w:p w14:paraId="096E1867"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4.3 O financiamento do esporte educacional no Brasil e o esvaziamento do PST</w:t>
      </w:r>
    </w:p>
    <w:p w14:paraId="5FAACF6E" w14:textId="29F18BFA"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lang w:val="pt-BR"/>
        </w:rPr>
        <w:t xml:space="preserve">A análise da terceira categoria “O financiamento do esporte educacional no Brasil e o esvaziamento do PST” foi iniciada a partir dos dados da Portaria Interministerial </w:t>
      </w:r>
      <w:r w:rsidRPr="00B8310D">
        <w:rPr>
          <w:rFonts w:ascii="Times New Roman" w:eastAsia="Times New Roman" w:hAnsi="Times New Roman" w:cs="Times New Roman"/>
          <w:highlight w:val="white"/>
          <w:lang w:val="pt-BR"/>
        </w:rPr>
        <w:t xml:space="preserve">nº 3.497, de 25 de novembro </w:t>
      </w:r>
      <w:r w:rsidR="007E6A63" w:rsidRPr="00B8310D">
        <w:rPr>
          <w:rFonts w:ascii="Times New Roman" w:eastAsia="Times New Roman" w:hAnsi="Times New Roman" w:cs="Times New Roman"/>
          <w:highlight w:val="white"/>
          <w:lang w:val="pt-BR"/>
        </w:rPr>
        <w:t>de 2003</w:t>
      </w:r>
      <w:r w:rsidRPr="00B8310D">
        <w:rPr>
          <w:rFonts w:ascii="Times New Roman" w:eastAsia="Times New Roman" w:hAnsi="Times New Roman" w:cs="Times New Roman"/>
          <w:highlight w:val="white"/>
          <w:lang w:val="pt-BR"/>
        </w:rPr>
        <w:t xml:space="preserve">, que estabeleceu responsabilidades genéricas quanto ao financiamento do PST, ao descrever que: </w:t>
      </w:r>
    </w:p>
    <w:p w14:paraId="785B3266" w14:textId="7DFBE0BB" w:rsidR="00E57E64" w:rsidRDefault="00B8310D" w:rsidP="00723B06">
      <w:pPr>
        <w:spacing w:line="240" w:lineRule="auto"/>
        <w:ind w:left="2268" w:firstLine="0"/>
        <w:rPr>
          <w:rFonts w:ascii="Times New Roman" w:eastAsia="Times New Roman" w:hAnsi="Times New Roman" w:cs="Times New Roman"/>
          <w:sz w:val="20"/>
          <w:szCs w:val="20"/>
        </w:rPr>
      </w:pPr>
      <w:r w:rsidRPr="00723B06">
        <w:rPr>
          <w:rFonts w:ascii="Times New Roman" w:eastAsia="Times New Roman" w:hAnsi="Times New Roman" w:cs="Times New Roman"/>
          <w:sz w:val="20"/>
          <w:szCs w:val="20"/>
        </w:rPr>
        <w:t>Art. 10. O Ministério do Esporte será o responsável por disponibilizar os recursos financeiros necessários ao funcionamento do Projeto Segundo Tempo, por meio do pagamento de bolsa ou ajuda de custo a monitores, implantação de programa de avaliação e capacitação dos agentes incumbidos de monitorar e coordenar o projeto, além do fornecimento de material esportivo, proveniente do projeto “Pintando a Liberdade”. Art. 11. O Ministério da Educação, respeitadas suas Normas e Resoluções próprias, suas disponibilidades orçamentárias e, com base nos dados fornecidos pelo Ministério do Esporte, referentes aos alunos a serem contemplados neste projeto, bem como o município e a rede de ensino aos quais pertencem, apoiará: I - o fornecimento de materiais esportivos suplementares, por intermédio do Fundo de Fortalecimento da Escola - FUNDESCOLA; II - reforço alimentar, por meio do Fundo Nacional de Desenvolvimento da Educação - FNDE (Brasil, 2003, p. 19).</w:t>
      </w:r>
    </w:p>
    <w:p w14:paraId="0E3F870E" w14:textId="77777777" w:rsidR="00723B06" w:rsidRPr="006036EF" w:rsidRDefault="00723B06" w:rsidP="00723B06">
      <w:pPr>
        <w:spacing w:line="240" w:lineRule="auto"/>
        <w:ind w:left="2268" w:firstLine="0"/>
        <w:rPr>
          <w:rFonts w:ascii="Times New Roman" w:eastAsia="Times New Roman" w:hAnsi="Times New Roman" w:cs="Times New Roman"/>
        </w:rPr>
      </w:pPr>
    </w:p>
    <w:p w14:paraId="5DA97B0C"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highlight w:val="white"/>
          <w:lang w:val="pt-BR"/>
        </w:rPr>
        <w:t xml:space="preserve">No que diz respeito à alocação de recursos para o PST, o estudo de Castro, Scarpin e Souza (2017) investigou o financiamento do programa nos processos de elaboração e de execução orçamentária de 2004 a 2011. Os resultados apontaram que os PPAs (2004-2007 e 2008-2011) e a proposta orçamentária priorizaram o programa na função “Segundo Tempo” nos anos de 2004, 2008, 2009 e 2010. De forma contrária, os programas de alto rendimento foram as ações priorizadas nos anos de 2005, 2006 e 2007. Esse direcionamento teve como propósito atender os grandes eventos esportivos no país. </w:t>
      </w:r>
    </w:p>
    <w:p w14:paraId="49E26F46"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highlight w:val="white"/>
          <w:lang w:val="pt-BR"/>
        </w:rPr>
        <w:t>De acordo com o Relatório de Auditoria do TCU (2018), a partir do PPA (2012-2015), um único programa passou a ser utilizado como agregador das ações orçamentárias do esporte. Em razão disso, o orçamento perdeu transparência sob a ótica da execução por programa, pois “[...] as ações que antes eram separadas por tipo de manifestação esportiva foram condensadas, misturando gastos do desporto educacional com os gastos nas demais manifestações” (TCU, 2018, p. 27).</w:t>
      </w:r>
    </w:p>
    <w:p w14:paraId="0ED3AA32" w14:textId="0A6EF20B" w:rsidR="00E57E64"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highlight w:val="white"/>
          <w:lang w:val="pt-BR"/>
        </w:rPr>
        <w:t xml:space="preserve">Na audiência pública, o representante do TCU, o Sr. </w:t>
      </w:r>
      <w:r w:rsidR="007E6A63" w:rsidRPr="00B8310D">
        <w:rPr>
          <w:rFonts w:ascii="Times New Roman" w:eastAsia="Times New Roman" w:hAnsi="Times New Roman" w:cs="Times New Roman"/>
          <w:lang w:val="pt-BR"/>
        </w:rPr>
        <w:t>Thiago Izzo</w:t>
      </w:r>
      <w:r w:rsidRPr="00B8310D">
        <w:rPr>
          <w:rFonts w:ascii="Times New Roman" w:eastAsia="Times New Roman" w:hAnsi="Times New Roman" w:cs="Times New Roman"/>
          <w:lang w:val="pt-BR"/>
        </w:rPr>
        <w:t xml:space="preserve"> Storch, apresentou em seus slides o financiamento do PST, conforme </w:t>
      </w:r>
      <w:r w:rsidR="00655FFF" w:rsidRPr="00B8310D">
        <w:rPr>
          <w:rFonts w:ascii="Times New Roman" w:eastAsia="Times New Roman" w:hAnsi="Times New Roman" w:cs="Times New Roman"/>
          <w:lang w:val="pt-BR"/>
        </w:rPr>
        <w:t>Figura</w:t>
      </w:r>
      <w:r w:rsidRPr="00B8310D">
        <w:rPr>
          <w:rFonts w:ascii="Times New Roman" w:eastAsia="Times New Roman" w:hAnsi="Times New Roman" w:cs="Times New Roman"/>
          <w:lang w:val="pt-BR"/>
        </w:rPr>
        <w:t xml:space="preserve"> 1, de dados coletados do tesouro gerencial, filtrados pela Função 27 e pelas ações 4377 e 20J (valores nominais). </w:t>
      </w:r>
    </w:p>
    <w:p w14:paraId="32EEC429" w14:textId="68462FD4" w:rsidR="00E57E64" w:rsidRPr="006036EF" w:rsidRDefault="00E57E64" w:rsidP="001609E4">
      <w:pPr>
        <w:ind w:firstLine="0"/>
        <w:rPr>
          <w:rFonts w:ascii="Times New Roman" w:eastAsia="Times New Roman" w:hAnsi="Times New Roman" w:cs="Times New Roman"/>
        </w:rPr>
      </w:pPr>
    </w:p>
    <w:p w14:paraId="3B252A81" w14:textId="67244F5D" w:rsidR="00655FFF" w:rsidRPr="00B8310D" w:rsidRDefault="00655FFF" w:rsidP="00655FFF">
      <w:pPr>
        <w:spacing w:line="240" w:lineRule="auto"/>
        <w:ind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b/>
          <w:bCs/>
          <w:sz w:val="20"/>
          <w:szCs w:val="20"/>
          <w:lang w:val="pt-BR"/>
        </w:rPr>
        <w:t>Figura 1</w:t>
      </w:r>
      <w:r w:rsidRPr="00B8310D">
        <w:rPr>
          <w:rFonts w:ascii="Times New Roman" w:eastAsia="Times New Roman" w:hAnsi="Times New Roman" w:cs="Times New Roman"/>
          <w:sz w:val="20"/>
          <w:szCs w:val="20"/>
          <w:lang w:val="pt-BR"/>
        </w:rPr>
        <w:t xml:space="preserve"> - Histórico da execução financeira das ações 4377 e 20JP, do PST, de 2008 a 2017. </w:t>
      </w:r>
    </w:p>
    <w:p w14:paraId="0CE826C0" w14:textId="151A14D0" w:rsidR="00E57E64" w:rsidRPr="00B8310D" w:rsidRDefault="00B8310D" w:rsidP="00655FFF">
      <w:pPr>
        <w:spacing w:line="240" w:lineRule="auto"/>
        <w:ind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b/>
          <w:bCs/>
          <w:sz w:val="20"/>
          <w:szCs w:val="20"/>
          <w:lang w:val="pt-BR"/>
        </w:rPr>
        <w:t>Fonte</w:t>
      </w:r>
      <w:r w:rsidRPr="00B8310D">
        <w:rPr>
          <w:rFonts w:ascii="Times New Roman" w:eastAsia="Times New Roman" w:hAnsi="Times New Roman" w:cs="Times New Roman"/>
          <w:sz w:val="20"/>
          <w:szCs w:val="20"/>
          <w:lang w:val="pt-BR"/>
        </w:rPr>
        <w:t xml:space="preserve">: Slide do </w:t>
      </w:r>
      <w:r w:rsidRPr="00B8310D">
        <w:rPr>
          <w:rFonts w:ascii="Times New Roman" w:eastAsia="Times New Roman" w:hAnsi="Times New Roman" w:cs="Times New Roman"/>
          <w:sz w:val="20"/>
          <w:szCs w:val="20"/>
          <w:highlight w:val="white"/>
          <w:lang w:val="pt-BR"/>
        </w:rPr>
        <w:t xml:space="preserve">Sr. </w:t>
      </w:r>
      <w:r w:rsidRPr="00B8310D">
        <w:rPr>
          <w:rFonts w:ascii="Times New Roman" w:eastAsia="Times New Roman" w:hAnsi="Times New Roman" w:cs="Times New Roman"/>
          <w:sz w:val="20"/>
          <w:szCs w:val="20"/>
          <w:lang w:val="pt-BR"/>
        </w:rPr>
        <w:t>Thiago Izzo Storch, apresentado na audiência pública (Senado Federal, 2025)</w:t>
      </w:r>
    </w:p>
    <w:p w14:paraId="0AC0688E" w14:textId="77777777" w:rsidR="00723B06" w:rsidRPr="00B8310D" w:rsidRDefault="00723B06" w:rsidP="001609E4">
      <w:pPr>
        <w:rPr>
          <w:rFonts w:ascii="Times New Roman" w:eastAsia="Times New Roman" w:hAnsi="Times New Roman" w:cs="Times New Roman"/>
          <w:highlight w:val="white"/>
          <w:lang w:val="pt-BR"/>
        </w:rPr>
      </w:pPr>
    </w:p>
    <w:p w14:paraId="7FDAFFF9" w14:textId="726794B2"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highlight w:val="white"/>
          <w:lang w:val="pt-BR"/>
        </w:rPr>
        <w:t xml:space="preserve">As limitações da análise orçamentária vinculada aos gastos específicos com o PST inviabilizam estudos e geram uma limitação para o presente artigo, além de dificultar o acompanhamento pela sociedade civil. </w:t>
      </w:r>
      <w:r w:rsidRPr="00B8310D">
        <w:rPr>
          <w:rFonts w:ascii="Times New Roman" w:eastAsia="Times New Roman" w:hAnsi="Times New Roman" w:cs="Times New Roman"/>
          <w:lang w:val="pt-BR"/>
        </w:rPr>
        <w:t>Dessa forma, o relatório do TCU (2018) e os dados apresentados no Senado Federal consideraram a ação “20JP”, a qual agregou os gastos do PST desde 2012, para discutir e comparar os gastos com o programa com os PPAs anteriores.</w:t>
      </w:r>
    </w:p>
    <w:p w14:paraId="0F9AF8D5" w14:textId="71C4F0ED"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De acordo com as informações do Relatório de Auditoria do TCU sobre Política Nacional de Esporte Educacional, os PPAs (2012-2015 e 2016-2019) apresentaram uma queda quanto aos recursos destinados ao esporte educacional. Verificaram-se dois períodos de queda acentuada nas despesas do programa: no biênio de 2012-2013, cuja média anual foi de 40% inferior à do período anterior (2008-2011), e no biênio 2016-2017, cuja média anual foi de 55% inferior à do período anterior (2014-2015) (TCU, 2018).</w:t>
      </w:r>
    </w:p>
    <w:p w14:paraId="4748C325"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highlight w:val="white"/>
          <w:lang w:val="pt-BR"/>
        </w:rPr>
        <w:t>O Parecer (SF) nº 2, de 2026, descreve a oscilação no orçamento do esporte educacional a partir dos dados do TCU, ao afirmar que: “[...] a última fiscalização operacional dedicada exclusivamente ao PST ocorreu entre 2018 e 2019. Sublinhou dados de uma auditoria anterior que mostravam uma "gangorra" nos recursos orçamentários entre 2008 e 2017” (Senado Federal, 2026, p. 09).</w:t>
      </w:r>
    </w:p>
    <w:p w14:paraId="4D732C05" w14:textId="77777777" w:rsidR="00E57E64" w:rsidRPr="00B8310D" w:rsidRDefault="00B8310D" w:rsidP="001609E4">
      <w:pPr>
        <w:rPr>
          <w:rFonts w:ascii="Times New Roman" w:eastAsia="Times New Roman" w:hAnsi="Times New Roman" w:cs="Times New Roman"/>
          <w:highlight w:val="white"/>
          <w:lang w:val="pt-BR"/>
        </w:rPr>
      </w:pPr>
      <w:r w:rsidRPr="00B8310D">
        <w:rPr>
          <w:rFonts w:ascii="Times New Roman" w:eastAsia="Times New Roman" w:hAnsi="Times New Roman" w:cs="Times New Roman"/>
          <w:lang w:val="pt-BR"/>
        </w:rPr>
        <w:t xml:space="preserve">O </w:t>
      </w:r>
      <w:r w:rsidRPr="00B8310D">
        <w:rPr>
          <w:rFonts w:ascii="Times New Roman" w:eastAsia="Times New Roman" w:hAnsi="Times New Roman" w:cs="Times New Roman"/>
          <w:highlight w:val="white"/>
          <w:lang w:val="pt-BR"/>
        </w:rPr>
        <w:t xml:space="preserve">Parecer (SF) nº 2, de 2026, acrescenta que: </w:t>
      </w:r>
    </w:p>
    <w:p w14:paraId="242DAD02" w14:textId="5CE30C6F"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B8310D">
        <w:rPr>
          <w:rFonts w:ascii="Times New Roman" w:eastAsia="Times New Roman" w:hAnsi="Times New Roman" w:cs="Times New Roman"/>
          <w:sz w:val="20"/>
          <w:szCs w:val="20"/>
          <w:lang w:val="pt-BR"/>
        </w:rPr>
        <w:t xml:space="preserve">A fragmentação das ações orçamentárias dificulta o acompanhamento e a transparência do programa. Conforme explicou o representante do TCU, até o Plano Plurianual de 2011 havia um programa temático específico para o PST, o que facilitava o levantamento dos recursos aplicados na política. Com as mudanças na lógica do PPA, as ações orçamentárias tornaram-se mais amplas e passaram a congregar diferentes intervenções. A Ação Orçamentária 20JP, principal fonte de recursos do PST, também executa outras políticas, como o Programa Esporte e Lazer da Cidade (Pelc), o que dificulta a identificação precisa dos valores destinados (Senado Federal, 2026, p. 20). </w:t>
      </w:r>
    </w:p>
    <w:p w14:paraId="2928F0B0" w14:textId="77777777" w:rsidR="00655FFF" w:rsidRPr="00B8310D" w:rsidRDefault="00655FFF" w:rsidP="00723B06">
      <w:pPr>
        <w:spacing w:line="240" w:lineRule="auto"/>
        <w:ind w:left="2268" w:firstLine="0"/>
        <w:rPr>
          <w:rFonts w:ascii="Times New Roman" w:eastAsia="Times New Roman" w:hAnsi="Times New Roman" w:cs="Times New Roman"/>
          <w:sz w:val="20"/>
          <w:szCs w:val="20"/>
          <w:lang w:val="pt-BR"/>
        </w:rPr>
      </w:pPr>
    </w:p>
    <w:p w14:paraId="1390ECF7"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 Diretriz do PST – Padrão 2023-2026 indica que o financiamento do programa permanece centrado na União, que atua como principal agente fomentador, enquanto a implementação depende da capacidade institucional dos entes conveniados. Esse contexto evidencia uma lógica indutora de financiamento e a falta de uma dotação orçamentária anual específica. Tal indefinição orçamentária revela a fragilidade da política e a dependência de ciclos políticos (Brasil, 2023c).</w:t>
      </w:r>
    </w:p>
    <w:p w14:paraId="39DF89C3"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 Edital de chamamento público nº 4/2023 comprova essa dependência, ao tornar público a:</w:t>
      </w:r>
    </w:p>
    <w:p w14:paraId="64A9A393" w14:textId="30C033C9"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723B06">
        <w:rPr>
          <w:rFonts w:ascii="Times New Roman" w:eastAsia="Times New Roman" w:hAnsi="Times New Roman" w:cs="Times New Roman"/>
          <w:sz w:val="20"/>
          <w:szCs w:val="20"/>
        </w:rPr>
        <w:t xml:space="preserve">[...] seleção de propostas para transferência de recursos da União, a serem financiadas no âmbito do Programa 5026 – Esporte, Ação Orçamentária 20JP – Desenvolvimento de Atividades e Apoio a Projetos de Esporte Amador, Educação, Lazer e Inclusão Social, vinculados ao Plano Plurianual, na forma e exigências legais da Lei Complementar nº 101, de 4 de maio de 2000, as quais constituem normas para execução estabelecida, em especial, naquilo que diz respeito às normas relativas às transferências de recursos da União, mediante Termo de Convênio e Termo de Colaboração, nas condições e exigências estabelecidas neste Edital e nas legislações aplicáveis [...] Os créditos orçamentários necessários ao custeio de despesas relativas ao presente Edital são provenientes da Funcional Programática 27.812.5026.20JP.0001 [...] </w:t>
      </w:r>
      <w:r w:rsidRPr="00B8310D">
        <w:rPr>
          <w:rFonts w:ascii="Times New Roman" w:eastAsia="Times New Roman" w:hAnsi="Times New Roman" w:cs="Times New Roman"/>
          <w:sz w:val="20"/>
          <w:szCs w:val="20"/>
          <w:lang w:val="pt-BR"/>
        </w:rPr>
        <w:t xml:space="preserve">8.3. As ações financiáveis do Programa Segundo Tempo Padrão, estão descritas na Diretriz – Anexo I, com o valor estimado, conforme a seguir: 8.3.1. R$ 181.280,00 (cento e oitenta e um mil duzentos e oitenta reais) para a implementação de 01 (um) núcleo do Programa Segundo Tempo Padrão; e 8.3.2. R$ 629.140,00 (seiscentos e vinte e nove mil, cento e quarenta reais) para a implementação de 03 (três) núcleos do Programa Segundo Tempo Padrão (Brasil, 2023d, p. 2-6). </w:t>
      </w:r>
    </w:p>
    <w:p w14:paraId="5FEDC5BF" w14:textId="77777777" w:rsidR="00655FFF" w:rsidRPr="00B8310D" w:rsidRDefault="00655FFF" w:rsidP="00723B06">
      <w:pPr>
        <w:spacing w:line="240" w:lineRule="auto"/>
        <w:ind w:left="2268" w:firstLine="0"/>
        <w:rPr>
          <w:rFonts w:ascii="Times New Roman" w:eastAsia="Times New Roman" w:hAnsi="Times New Roman" w:cs="Times New Roman"/>
          <w:lang w:val="pt-BR"/>
        </w:rPr>
      </w:pPr>
    </w:p>
    <w:p w14:paraId="5AF530AB"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O MESP não transferiu os recursos dos editais aos municípios. O </w:t>
      </w:r>
      <w:r w:rsidRPr="00B8310D">
        <w:rPr>
          <w:rFonts w:ascii="Times New Roman" w:eastAsia="Times New Roman" w:hAnsi="Times New Roman" w:cs="Times New Roman"/>
          <w:highlight w:val="white"/>
          <w:lang w:val="pt-BR"/>
        </w:rPr>
        <w:t>Parecer (SF) nº 2, de 2026</w:t>
      </w:r>
      <w:r w:rsidRPr="00B8310D">
        <w:rPr>
          <w:rFonts w:ascii="Times New Roman" w:eastAsia="Times New Roman" w:hAnsi="Times New Roman" w:cs="Times New Roman"/>
          <w:lang w:val="pt-BR"/>
        </w:rPr>
        <w:t>, menciona que, em 2023, o MESP:</w:t>
      </w:r>
    </w:p>
    <w:p w14:paraId="6D1733E8" w14:textId="6A787C4F" w:rsidR="00E57E64" w:rsidRPr="00B8310D" w:rsidRDefault="00B8310D" w:rsidP="00723B06">
      <w:pPr>
        <w:spacing w:line="240" w:lineRule="auto"/>
        <w:ind w:left="2268" w:firstLine="0"/>
        <w:rPr>
          <w:rFonts w:ascii="Times New Roman" w:eastAsia="Times New Roman" w:hAnsi="Times New Roman" w:cs="Times New Roman"/>
          <w:sz w:val="20"/>
          <w:szCs w:val="20"/>
          <w:lang w:val="pt-BR"/>
        </w:rPr>
      </w:pPr>
      <w:r w:rsidRPr="00723B06">
        <w:rPr>
          <w:rFonts w:ascii="Times New Roman" w:eastAsia="Times New Roman" w:hAnsi="Times New Roman" w:cs="Times New Roman"/>
          <w:sz w:val="20"/>
          <w:szCs w:val="20"/>
        </w:rPr>
        <w:t xml:space="preserve">[...] publicou editais para o PST, classificando 563 municípios e 93 instituições, mas não conseguiu realizar os pagamentos no segundo semestre devido à política de ‘déficit zero’ do governo federal [...] Em 2024, após novas negativas e muito esforço, conseguiram um recurso de R$ 12 milhões a R$ 16 milhões para pagar os projetos mais bem classificados, convocando 24 municípios e 12 instituições. </w:t>
      </w:r>
      <w:r w:rsidRPr="00B8310D">
        <w:rPr>
          <w:rFonts w:ascii="Times New Roman" w:eastAsia="Times New Roman" w:hAnsi="Times New Roman" w:cs="Times New Roman"/>
          <w:sz w:val="20"/>
          <w:szCs w:val="20"/>
          <w:lang w:val="pt-BR"/>
        </w:rPr>
        <w:t>Contudo, dos 24 municípios, 22 tinham problemas no CAUC (cadastro de inadimplência) e não puderam receber os recursos, de modo que apenas dois conseguiram executar o programa em 2025 (Senado Federal, 2026, p. 9).</w:t>
      </w:r>
    </w:p>
    <w:p w14:paraId="2F24F75F" w14:textId="77777777" w:rsidR="00723B06" w:rsidRPr="00B8310D" w:rsidRDefault="00723B06" w:rsidP="00723B06">
      <w:pPr>
        <w:spacing w:line="240" w:lineRule="auto"/>
        <w:ind w:left="2268" w:firstLine="0"/>
        <w:rPr>
          <w:rFonts w:ascii="Times New Roman" w:eastAsia="Times New Roman" w:hAnsi="Times New Roman" w:cs="Times New Roman"/>
          <w:lang w:val="pt-BR"/>
        </w:rPr>
      </w:pPr>
    </w:p>
    <w:p w14:paraId="2CEBDD6B" w14:textId="77777777" w:rsidR="00B273A1"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Os dados demonstram a fragilidade do financiamento e a baixa capacidade técnica dos municípios para receberem o programa, sobretudo os com problemas no CAUC</w:t>
      </w:r>
      <w:r w:rsidR="00B273A1">
        <w:rPr>
          <w:rFonts w:ascii="Times New Roman" w:eastAsia="Times New Roman" w:hAnsi="Times New Roman" w:cs="Times New Roman"/>
          <w:lang w:val="pt-BR"/>
        </w:rPr>
        <w:t xml:space="preserve">. </w:t>
      </w:r>
    </w:p>
    <w:p w14:paraId="70F371DF" w14:textId="6A29E7D7" w:rsidR="00B273A1" w:rsidRPr="00822650" w:rsidRDefault="00B273A1" w:rsidP="001609E4">
      <w:pPr>
        <w:rPr>
          <w:rFonts w:ascii="Times New Roman" w:eastAsia="Times New Roman" w:hAnsi="Times New Roman" w:cs="Times New Roman"/>
          <w:lang w:val="pt-BR"/>
        </w:rPr>
      </w:pPr>
      <w:r w:rsidRPr="00822650">
        <w:rPr>
          <w:rFonts w:ascii="Times New Roman" w:eastAsia="Times New Roman" w:hAnsi="Times New Roman" w:cs="Times New Roman"/>
          <w:lang w:val="pt-BR"/>
        </w:rPr>
        <w:t xml:space="preserve">O CAUC é </w:t>
      </w:r>
      <w:r w:rsidR="00822650">
        <w:rPr>
          <w:rFonts w:ascii="Times New Roman" w:eastAsia="Times New Roman" w:hAnsi="Times New Roman" w:cs="Times New Roman"/>
          <w:lang w:val="pt-BR"/>
        </w:rPr>
        <w:t>um sistema que simplifica a comprovação do cumprimento dos requisitos fiscais necessários à celebração de convênios e contratos de repasse por estados, Distrito Federal e municípios, seus órgãos e entidades, consórcios públicos e</w:t>
      </w:r>
      <w:r w:rsidRPr="00822650">
        <w:rPr>
          <w:rFonts w:ascii="Times New Roman" w:eastAsia="Times New Roman" w:hAnsi="Times New Roman" w:cs="Times New Roman"/>
          <w:lang w:val="pt-BR"/>
        </w:rPr>
        <w:t xml:space="preserve"> organizações da sociedade civil (Tesouro Nacional, 2026).</w:t>
      </w:r>
    </w:p>
    <w:p w14:paraId="2E2F46EA" w14:textId="0CD869EB"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 Por fim, a política apresenta forte dependência de recursos discricionários, resultando em instabilidade de financiamento; vulnerabilidade a contingenciamentos</w:t>
      </w:r>
      <w:r w:rsidR="00822650">
        <w:rPr>
          <w:rFonts w:ascii="Times New Roman" w:eastAsia="Times New Roman" w:hAnsi="Times New Roman" w:cs="Times New Roman"/>
          <w:lang w:val="pt-BR"/>
        </w:rPr>
        <w:t xml:space="preserve"> e</w:t>
      </w:r>
      <w:r w:rsidRPr="00B8310D">
        <w:rPr>
          <w:rFonts w:ascii="Times New Roman" w:eastAsia="Times New Roman" w:hAnsi="Times New Roman" w:cs="Times New Roman"/>
          <w:lang w:val="pt-BR"/>
        </w:rPr>
        <w:t xml:space="preserve"> redução da capacidade operacional. Esse cenário evidencia o esvaziamento da política de esporte educacional no Brasil. </w:t>
      </w:r>
    </w:p>
    <w:p w14:paraId="66C04DC1" w14:textId="77777777" w:rsidR="00E57E64" w:rsidRPr="00B8310D" w:rsidRDefault="00B8310D" w:rsidP="001609E4">
      <w:pPr>
        <w:ind w:firstLine="0"/>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 </w:t>
      </w:r>
    </w:p>
    <w:p w14:paraId="7A73E1A4"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Discussão</w:t>
      </w:r>
    </w:p>
    <w:p w14:paraId="4AA44C6F" w14:textId="3F95B110"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b/>
          <w:bCs/>
          <w:lang w:val="pt-BR"/>
        </w:rPr>
        <w:tab/>
      </w:r>
      <w:r w:rsidRPr="00B8310D">
        <w:rPr>
          <w:rFonts w:ascii="Times New Roman" w:eastAsia="Times New Roman" w:hAnsi="Times New Roman" w:cs="Times New Roman"/>
          <w:lang w:val="pt-BR"/>
        </w:rPr>
        <w:t>A análise do papel do Estado na garantia do direito ao esporte educacional demonstra um avanço jurídico-institucional, com fragilidades de sua materialização. Os dados sugerem uma inflexão histórica do papel do Estado, que passou a incorporar o esporte educacional como política, especialmente após a criação do PST, em 2003, mas sem ampliar a abrangência do programa entre os governos</w:t>
      </w:r>
      <w:r w:rsidR="007520F7">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w:t>
      </w:r>
      <w:r w:rsidR="007520F7">
        <w:rPr>
          <w:rFonts w:ascii="Times New Roman" w:eastAsia="Times New Roman" w:hAnsi="Times New Roman" w:cs="Times New Roman"/>
          <w:lang w:val="pt-BR"/>
        </w:rPr>
        <w:t>Tal fato,</w:t>
      </w:r>
      <w:r w:rsidRPr="00B8310D">
        <w:rPr>
          <w:rFonts w:ascii="Times New Roman" w:eastAsia="Times New Roman" w:hAnsi="Times New Roman" w:cs="Times New Roman"/>
          <w:lang w:val="pt-BR"/>
        </w:rPr>
        <w:t xml:space="preserve"> comprova que a implementação de uma política de governo e não de Estado não sustenta a universalização do direito, conforme discutido na política de Estado de Bem-Estar Social por Medeiros (2001) e por Behring e Boschetti (2016). </w:t>
      </w:r>
    </w:p>
    <w:p w14:paraId="1C1521E8" w14:textId="2EB59DD1"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É possível inferir que a ausência de uma política nacional de esporte educacional estruturada e </w:t>
      </w:r>
      <w:r w:rsidR="007520F7">
        <w:rPr>
          <w:rFonts w:ascii="Times New Roman" w:eastAsia="Times New Roman" w:hAnsi="Times New Roman" w:cs="Times New Roman"/>
          <w:lang w:val="pt-BR"/>
        </w:rPr>
        <w:t xml:space="preserve">a </w:t>
      </w:r>
      <w:r w:rsidRPr="00B8310D">
        <w:rPr>
          <w:rFonts w:ascii="Times New Roman" w:eastAsia="Times New Roman" w:hAnsi="Times New Roman" w:cs="Times New Roman"/>
          <w:lang w:val="pt-BR"/>
        </w:rPr>
        <w:t>atuação do Estado por meio da “programatização” e dos convênios comprova a dependência de decisões governamentais conjunturais de determinados ciclos políticos. O programa, ao não universalizar, indica a influência da lógica seletiva e focalizada, compatível com as orientações neoliberais, conforme discutido por Draibe (1993).</w:t>
      </w:r>
    </w:p>
    <w:p w14:paraId="71C2841D" w14:textId="6CB683A8"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A análise da LGE (2023), da audiência pública e do parecer permite o reconhecimento</w:t>
      </w:r>
      <w:r w:rsidR="007520F7">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w:t>
      </w:r>
      <w:r w:rsidR="007520F7">
        <w:rPr>
          <w:rFonts w:ascii="Times New Roman" w:eastAsia="Times New Roman" w:hAnsi="Times New Roman" w:cs="Times New Roman"/>
          <w:lang w:val="pt-BR"/>
        </w:rPr>
        <w:t>pelo</w:t>
      </w:r>
      <w:r w:rsidRPr="00B8310D">
        <w:rPr>
          <w:rFonts w:ascii="Times New Roman" w:eastAsia="Times New Roman" w:hAnsi="Times New Roman" w:cs="Times New Roman"/>
          <w:lang w:val="pt-BR"/>
        </w:rPr>
        <w:t xml:space="preserve"> próprio Estado</w:t>
      </w:r>
      <w:r w:rsidR="007520F7">
        <w:rPr>
          <w:rFonts w:ascii="Times New Roman" w:eastAsia="Times New Roman" w:hAnsi="Times New Roman" w:cs="Times New Roman"/>
          <w:lang w:val="pt-BR"/>
        </w:rPr>
        <w:t>,</w:t>
      </w:r>
      <w:r w:rsidRPr="00B8310D">
        <w:rPr>
          <w:rFonts w:ascii="Times New Roman" w:eastAsia="Times New Roman" w:hAnsi="Times New Roman" w:cs="Times New Roman"/>
          <w:lang w:val="pt-BR"/>
        </w:rPr>
        <w:t xml:space="preserve"> das limitações existentes. Apesar de identificar o PST como a principal intervenção estatal em âmbito federal, aponta para a ausência de organização no setor, seguida de uma lógica de políticas programáticas, episódicas e isoladas. A criação de um sistema nacional de esporte surge como uma oportunidade para estruturar uma política nacional com maior estabilidade das ações. </w:t>
      </w:r>
    </w:p>
    <w:p w14:paraId="4E534DA3"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A partir dos dados da intersetorialidade, é possível discutir que existe uma dissociação entre a formulação normativa e a materialização da política de forma articulada entre os setores. Embora o PST tenha sido concebido na lógica interministerial, não foi estruturada uma gestão intersetorial. Os elementos intersetoriais de articulação de saberes, práticas e responsabilidades entre os setores, conforme discutido por Junqueira, Inojosa e Komatsu (1997) e Junqueira (2004), estiveram ausentes nos dados analisados. </w:t>
      </w:r>
    </w:p>
    <w:p w14:paraId="6CD63EDA" w14:textId="65154115"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Persiste o padrão fragmentado e burocrático da política de esporte educacional no Brasil, o que corrobora os dados de Farah (2000) no contexto da gestão pública brasileira. A política intersetorial requer mais do que a inserção da palavra nas normas e diretrizes. Wanderley, Martinelli e Paz (2020) destacam as capacidades institucionais e a necessidade de coordenação para promoção do acesso aos direitos.  As descontinuidades da parceria entre o MESP e o MEC reforçam que as políticas de esporte educacional no Brasil estão condicionadas às prioridades governamentais, sem uma estruturação </w:t>
      </w:r>
      <w:r w:rsidR="007520F7" w:rsidRPr="00B8310D">
        <w:rPr>
          <w:rFonts w:ascii="Times New Roman" w:eastAsia="Times New Roman" w:hAnsi="Times New Roman" w:cs="Times New Roman"/>
          <w:lang w:val="pt-BR"/>
        </w:rPr>
        <w:t>para garantia</w:t>
      </w:r>
      <w:r w:rsidRPr="00B8310D">
        <w:rPr>
          <w:rFonts w:ascii="Times New Roman" w:eastAsia="Times New Roman" w:hAnsi="Times New Roman" w:cs="Times New Roman"/>
          <w:lang w:val="pt-BR"/>
        </w:rPr>
        <w:t xml:space="preserve"> do direito.  </w:t>
      </w:r>
    </w:p>
    <w:p w14:paraId="72362CD3"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A descentralização por meio de convênios falhou ao concentrar os núcleos em municípios mais populosos, com maior capacidade administrativa, maior IDH, e reproduziu desigualdades sociais. Essa dinâmica confirma o que foi proposto por Grin e Abrucio (2021) de que a cooperação federativa é condição central para descentralização de políticas públicas. Nesse sentido, a ausência de suporte técnico adequado aos municípios, conforme dados analisados, limita a capilaridade do PST e compromete a universalização do direito. </w:t>
      </w:r>
    </w:p>
    <w:p w14:paraId="23628FC4" w14:textId="30E5C3DC"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A iniciativa da Rede de Desenvolvimento do Esporte (2023) sinaliza, mais uma vez, para um avanço normativo. No entanto, </w:t>
      </w:r>
      <w:r w:rsidR="007520F7">
        <w:rPr>
          <w:rFonts w:ascii="Times New Roman" w:eastAsia="Times New Roman" w:hAnsi="Times New Roman" w:cs="Times New Roman"/>
          <w:lang w:val="pt-BR"/>
        </w:rPr>
        <w:t xml:space="preserve">não houve </w:t>
      </w:r>
      <w:r w:rsidRPr="00B8310D">
        <w:rPr>
          <w:rFonts w:ascii="Times New Roman" w:eastAsia="Times New Roman" w:hAnsi="Times New Roman" w:cs="Times New Roman"/>
          <w:lang w:val="pt-BR"/>
        </w:rPr>
        <w:t xml:space="preserve">nenhuma materialização até o ano de 2026. Em síntese, a intersetorialidade e a descentralização nas políticas públicas de esporte no Brasil permanecem incipientes. A articulação entre os setores do esporte e da educação apresenta caráter fragmentado e programático, sem institucionalização, o que reforça a necessidade de avançar na integração entre os sistemas de educação e esporte. </w:t>
      </w:r>
    </w:p>
    <w:p w14:paraId="17322873"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A análise do financiamento do esporte educacional, com ênfase no PST, evidencia a centralidade do fundo público como arena de disputa e como elemento estruturante da política. Como discute Mascarenhas (2016), o fundo público exerce simultaneamente as funções superestruturais e integradoras. No caso do PST, por mais que ele tenha uma função integradora, está subordinado a prioridades econômicas e agendas conjunturais para sua universalização. </w:t>
      </w:r>
    </w:p>
    <w:p w14:paraId="7A4679DF" w14:textId="7997A443"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Os dados de 2004 e 2017 demonstram que o esporte educacional não foi a prioridade do financiamento, apesar do seu reconhecimento na CF-1988. O esporte de rendimento e a agenda dos megaeventos esportivos comprovam as correlações de forças na disputa do fundo público e a prioridade do governo, conforme discutido por Salvador (201</w:t>
      </w:r>
      <w:r w:rsidR="004429D1">
        <w:rPr>
          <w:rFonts w:ascii="Times New Roman" w:eastAsia="Times New Roman" w:hAnsi="Times New Roman" w:cs="Times New Roman"/>
          <w:lang w:val="pt-BR"/>
        </w:rPr>
        <w:t>0</w:t>
      </w:r>
      <w:r w:rsidRPr="00B8310D">
        <w:rPr>
          <w:rFonts w:ascii="Times New Roman" w:eastAsia="Times New Roman" w:hAnsi="Times New Roman" w:cs="Times New Roman"/>
          <w:lang w:val="pt-BR"/>
        </w:rPr>
        <w:t>). A “gangorra” descrita pelo TCU evidencia a vulnerabilidade do funcionamento do PST, subordinada aos ciclos políticos. Além disso, a reconfiguração dos instrumentos orçamentários a partir do PPA 2012-2015 e a diluição dos gastos em ações genéricas, como a Ação 20JP, dificultam a transparência e a rastreabilidade dos recursos para os pesquisado</w:t>
      </w:r>
      <w:r w:rsidR="004C0CB1">
        <w:rPr>
          <w:rFonts w:ascii="Times New Roman" w:eastAsia="Times New Roman" w:hAnsi="Times New Roman" w:cs="Times New Roman"/>
          <w:lang w:val="pt-BR"/>
        </w:rPr>
        <w:t>re</w:t>
      </w:r>
      <w:r w:rsidRPr="00B8310D">
        <w:rPr>
          <w:rFonts w:ascii="Times New Roman" w:eastAsia="Times New Roman" w:hAnsi="Times New Roman" w:cs="Times New Roman"/>
          <w:lang w:val="pt-BR"/>
        </w:rPr>
        <w:t xml:space="preserve">s e a sociedade civil. O PST está sujeito a contingenciamentos e restrições fiscais, o que revela a fragilidade estrutural da política e </w:t>
      </w:r>
      <w:r w:rsidR="006A6DBE">
        <w:rPr>
          <w:rFonts w:ascii="Times New Roman" w:eastAsia="Times New Roman" w:hAnsi="Times New Roman" w:cs="Times New Roman"/>
          <w:lang w:val="pt-BR"/>
        </w:rPr>
        <w:t xml:space="preserve">a </w:t>
      </w:r>
      <w:r w:rsidRPr="00B8310D">
        <w:rPr>
          <w:rFonts w:ascii="Times New Roman" w:eastAsia="Times New Roman" w:hAnsi="Times New Roman" w:cs="Times New Roman"/>
          <w:lang w:val="pt-BR"/>
        </w:rPr>
        <w:t xml:space="preserve">ocupação periférica do esporte educacional nas prioridades estatais. </w:t>
      </w:r>
    </w:p>
    <w:p w14:paraId="7CBE65C1" w14:textId="49859A45"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b/>
        <w:t xml:space="preserve">A não execução de recursos já previstos, como no caso do edital do PST de 2023, demonstra que o problema ultrapassa a ausência orçamentária e envolve entraves institucionais e fiscais, como as exigências do CAUC aos municípios. O modelo do programa não promove a equidade federativa, pelo contrário, reproduz as assimetrias já existentes ao abrir concorrência por edital. </w:t>
      </w:r>
    </w:p>
    <w:p w14:paraId="2F52A629" w14:textId="77777777"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Por fim, a análise evidencia que o esvaziamento do PST não decorre apenas da redução de recursos, mas de um conjunto articulado de fatores: como o não cumprimento da CF-1988, de priorizar o esporte educacional como uma política de Estado; a fragilidade na intersetorialidade com outros setores do governo, com destaque para a educação; a descentralização desigual e a concentração de convênios nas regiões com maior IDH; a instabilidade financeira orçamentária, a  baixa transparência e a dependência de instrumentos discricionários.  </w:t>
      </w:r>
    </w:p>
    <w:p w14:paraId="10BD2EEA" w14:textId="77777777" w:rsidR="00E57E64" w:rsidRPr="00B8310D" w:rsidRDefault="00B8310D" w:rsidP="001609E4">
      <w:pPr>
        <w:ind w:firstLine="0"/>
        <w:rPr>
          <w:rFonts w:ascii="Times New Roman" w:eastAsia="Times New Roman" w:hAnsi="Times New Roman" w:cs="Times New Roman"/>
          <w:color w:val="FF0000"/>
          <w:lang w:val="pt-BR"/>
        </w:rPr>
      </w:pPr>
      <w:r w:rsidRPr="00B8310D">
        <w:rPr>
          <w:rFonts w:ascii="Times New Roman" w:eastAsia="Times New Roman" w:hAnsi="Times New Roman" w:cs="Times New Roman"/>
          <w:color w:val="FF0000"/>
          <w:lang w:val="pt-BR"/>
        </w:rPr>
        <w:t xml:space="preserve"> </w:t>
      </w:r>
    </w:p>
    <w:p w14:paraId="44BD8D71" w14:textId="77777777" w:rsidR="00E57E64" w:rsidRPr="00B8310D" w:rsidRDefault="00B8310D" w:rsidP="001609E4">
      <w:pPr>
        <w:ind w:firstLine="0"/>
        <w:rPr>
          <w:rFonts w:ascii="Times New Roman" w:eastAsia="Times New Roman" w:hAnsi="Times New Roman" w:cs="Times New Roman"/>
          <w:b/>
          <w:bCs/>
          <w:lang w:val="pt-BR"/>
        </w:rPr>
      </w:pPr>
      <w:r w:rsidRPr="00B8310D">
        <w:rPr>
          <w:rFonts w:ascii="Times New Roman" w:eastAsia="Times New Roman" w:hAnsi="Times New Roman" w:cs="Times New Roman"/>
          <w:b/>
          <w:bCs/>
          <w:lang w:val="pt-BR"/>
        </w:rPr>
        <w:t>Conclusão</w:t>
      </w:r>
    </w:p>
    <w:p w14:paraId="36E7F800" w14:textId="28D7D2FC"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 xml:space="preserve">Conclui-se que o papel do Estado na garantia do direito ao esporte educacional no Brasil é marcado por uma contradição estrutural: há um arcabouço normativo e jurídico amplo, mas com ausência de materialização de uma política de Estado. O predomínio do PST como principal intervenção federal reforça esse argumento, que permanece em uma lógica programática e não sistêmica, o que compromete a universalização do direito. As ações de esporte educacional continuam setorizadas. A intersetorialidade permanece no âmbito normativo, com baixa operacionalização e limitada  institucionalização. Os entes federativos não realizam a cooperação e disputam o fundo público, em um modelo concorrencial que gera mais desigualdades e focalização. O financiamento apresenta instabilidade, baixa transparência e forte dependência de recursos discricionários. Nesse sentido, a política de esporte educacional se encontra na periferia da agenda estatal, marcada por descontinuidades, com dependência de iniciativas conjunturais e ciclos políticos. </w:t>
      </w:r>
    </w:p>
    <w:p w14:paraId="7C21EA91" w14:textId="24642E33" w:rsidR="00E57E64" w:rsidRPr="00B8310D" w:rsidRDefault="00B8310D" w:rsidP="001609E4">
      <w:pPr>
        <w:rPr>
          <w:rFonts w:ascii="Times New Roman" w:eastAsia="Times New Roman" w:hAnsi="Times New Roman" w:cs="Times New Roman"/>
          <w:lang w:val="pt-BR"/>
        </w:rPr>
      </w:pPr>
      <w:r w:rsidRPr="00B8310D">
        <w:rPr>
          <w:rFonts w:ascii="Times New Roman" w:eastAsia="Times New Roman" w:hAnsi="Times New Roman" w:cs="Times New Roman"/>
          <w:lang w:val="pt-BR"/>
        </w:rPr>
        <w:t>A partir dos resultados, discussões e considerações finais, foi possível destacar três implicações práticas para o poder público. A primeira diz respeito à transição do modelo de programa governamental para a institucionalização de uma política de Estado, com base legal robusta. A ampliação do financiamento, da abrangência (número de municípios e</w:t>
      </w:r>
      <w:r w:rsidR="00E75081">
        <w:rPr>
          <w:rFonts w:ascii="Times New Roman" w:eastAsia="Times New Roman" w:hAnsi="Times New Roman" w:cs="Times New Roman"/>
          <w:lang w:val="pt-BR"/>
        </w:rPr>
        <w:t xml:space="preserve"> </w:t>
      </w:r>
      <w:r w:rsidR="006A6DBE">
        <w:rPr>
          <w:rFonts w:ascii="Times New Roman" w:eastAsia="Times New Roman" w:hAnsi="Times New Roman" w:cs="Times New Roman"/>
          <w:lang w:val="pt-BR"/>
        </w:rPr>
        <w:t xml:space="preserve">de </w:t>
      </w:r>
      <w:r w:rsidR="00E75081">
        <w:rPr>
          <w:rFonts w:ascii="Times New Roman" w:eastAsia="Times New Roman" w:hAnsi="Times New Roman" w:cs="Times New Roman"/>
          <w:lang w:val="pt-BR"/>
        </w:rPr>
        <w:t xml:space="preserve">beneficiários que receberam a </w:t>
      </w:r>
      <w:r w:rsidRPr="00B8310D">
        <w:rPr>
          <w:rFonts w:ascii="Times New Roman" w:eastAsia="Times New Roman" w:hAnsi="Times New Roman" w:cs="Times New Roman"/>
          <w:lang w:val="pt-BR"/>
        </w:rPr>
        <w:t xml:space="preserve">política) deve ser realizada de forma gradual e contínua até atingir a universalização. </w:t>
      </w:r>
    </w:p>
    <w:p w14:paraId="3C30C353" w14:textId="14DD578E" w:rsidR="00E57E64" w:rsidRPr="006036EF" w:rsidRDefault="00B8310D" w:rsidP="001609E4">
      <w:pPr>
        <w:rPr>
          <w:rFonts w:ascii="Times New Roman" w:eastAsia="Times New Roman" w:hAnsi="Times New Roman" w:cs="Times New Roman"/>
        </w:rPr>
      </w:pPr>
      <w:r w:rsidRPr="00B8310D">
        <w:rPr>
          <w:rFonts w:ascii="Times New Roman" w:eastAsia="Times New Roman" w:hAnsi="Times New Roman" w:cs="Times New Roman"/>
          <w:lang w:val="pt-BR"/>
        </w:rPr>
        <w:tab/>
        <w:t xml:space="preserve">A segunda implicação prática está relacionada à institucionalização da intersetorialidade, com definições de competências entre os entes federativos e mecanismos institucionais que assegurem continuidade </w:t>
      </w:r>
      <w:r w:rsidR="00822650">
        <w:rPr>
          <w:rFonts w:ascii="Times New Roman" w:eastAsia="Times New Roman" w:hAnsi="Times New Roman" w:cs="Times New Roman"/>
          <w:lang w:val="pt-BR"/>
        </w:rPr>
        <w:t>independentemente</w:t>
      </w:r>
      <w:r w:rsidRPr="00B8310D">
        <w:rPr>
          <w:rFonts w:ascii="Times New Roman" w:eastAsia="Times New Roman" w:hAnsi="Times New Roman" w:cs="Times New Roman"/>
          <w:lang w:val="pt-BR"/>
        </w:rPr>
        <w:t xml:space="preserve"> de mudanças de governo. </w:t>
      </w:r>
      <w:r w:rsidRPr="006036EF">
        <w:rPr>
          <w:rFonts w:ascii="Times New Roman" w:eastAsia="Times New Roman" w:hAnsi="Times New Roman" w:cs="Times New Roman"/>
        </w:rPr>
        <w:t xml:space="preserve">A descentralização deve ser acompanhada de suporte técnico e financeiro aos entes subnacionais, especialmente aos municípios de menor capacidade institucional. Isso envolve apoio à regularização fiscal e formação de gestores. Além dos entes federados, essa recomendação envolve a materialização da Rede de Desenvolvimento do Esporte, que indicava a articulação entre o MESP, o MEC, o Ministério da Saúde e o Ministério do Desenvolvimento e Assistência Social, Família e Combate à Fome, o que implicaria na criação de comitês e de protocolos operacionais. Chama-se a atenção para a necessidade de integração entre a política de esporte educacional e os sistemas educacionais, o que superaria a lógica de programas paralelos, isolados e acessórios e avançaria para um modelo estruturado, articulado à educação integral e à Educação Física escolar.  </w:t>
      </w:r>
    </w:p>
    <w:p w14:paraId="35C20A5D" w14:textId="77777777" w:rsidR="00E57E64" w:rsidRPr="006036EF" w:rsidRDefault="00B8310D" w:rsidP="001609E4">
      <w:pPr>
        <w:rPr>
          <w:rFonts w:ascii="Times New Roman" w:eastAsia="Times New Roman" w:hAnsi="Times New Roman" w:cs="Times New Roman"/>
          <w:b/>
          <w:bCs/>
          <w:color w:val="FF0000"/>
        </w:rPr>
      </w:pPr>
      <w:r w:rsidRPr="006036EF">
        <w:rPr>
          <w:rFonts w:ascii="Times New Roman" w:eastAsia="Times New Roman" w:hAnsi="Times New Roman" w:cs="Times New Roman"/>
        </w:rPr>
        <w:tab/>
        <w:t xml:space="preserve">A terceira implicação prática está relacionada ao fortalecimento do financiamento público para o esporte educacional, com previsibilidade orçamentária mínima ou com fundos específicos. O financiamento precisa ser transparente, com identificação clara das ações e dos recursos, o que superaria a fragmentação atual e avançaria para um modelo rastreável. O financiamento da política deve estar vinculado ao sistema de monitoramento e avaliação sistemática, com indicadores nacionais sobre o acesso ao direito. </w:t>
      </w:r>
    </w:p>
    <w:p w14:paraId="70146900" w14:textId="77777777" w:rsidR="00E57E64" w:rsidRPr="006036EF" w:rsidRDefault="00B8310D" w:rsidP="001609E4">
      <w:pPr>
        <w:ind w:firstLine="0"/>
        <w:rPr>
          <w:rFonts w:ascii="Times New Roman" w:eastAsia="Times New Roman" w:hAnsi="Times New Roman" w:cs="Times New Roman"/>
        </w:rPr>
      </w:pPr>
      <w:r w:rsidRPr="006036EF">
        <w:rPr>
          <w:rFonts w:ascii="Times New Roman" w:eastAsia="Times New Roman" w:hAnsi="Times New Roman" w:cs="Times New Roman"/>
        </w:rPr>
        <w:t xml:space="preserve"> </w:t>
      </w:r>
    </w:p>
    <w:p w14:paraId="5A0D0F52" w14:textId="77777777" w:rsidR="00E57E64" w:rsidRPr="006036EF" w:rsidRDefault="00B8310D" w:rsidP="00FF713B">
      <w:pPr>
        <w:ind w:firstLine="0"/>
        <w:rPr>
          <w:rFonts w:ascii="Times New Roman" w:eastAsia="Times New Roman" w:hAnsi="Times New Roman" w:cs="Times New Roman"/>
          <w:b/>
          <w:bCs/>
        </w:rPr>
      </w:pPr>
      <w:r w:rsidRPr="006036EF">
        <w:rPr>
          <w:rFonts w:ascii="Times New Roman" w:eastAsia="Times New Roman" w:hAnsi="Times New Roman" w:cs="Times New Roman"/>
          <w:b/>
          <w:bCs/>
        </w:rPr>
        <w:t>Referências</w:t>
      </w:r>
    </w:p>
    <w:p w14:paraId="3C1C3E80"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ANDERSON, Perry. Balanço do neoliberalismo. In: SADER, Emir; GENTILI, Pablo (orgs.) </w:t>
      </w:r>
      <w:r w:rsidRPr="00FF713B">
        <w:rPr>
          <w:rFonts w:ascii="Times New Roman" w:eastAsia="Times New Roman" w:hAnsi="Times New Roman" w:cs="Times New Roman"/>
          <w:b/>
          <w:bCs/>
          <w:highlight w:val="white"/>
        </w:rPr>
        <w:t>Pós-neoliberalismo</w:t>
      </w:r>
      <w:r w:rsidRPr="00FF713B">
        <w:rPr>
          <w:rFonts w:ascii="Times New Roman" w:eastAsia="Times New Roman" w:hAnsi="Times New Roman" w:cs="Times New Roman"/>
          <w:highlight w:val="white"/>
        </w:rPr>
        <w:t>: as políticas sociais e o Estado democrático. Rio de Janeiro: Paz e Terra, 1995, pp. 09-23.</w:t>
      </w:r>
    </w:p>
    <w:p w14:paraId="035E429C"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ANDRADE, Luiz Odorico Monteiro.</w:t>
      </w:r>
      <w:r w:rsidRPr="00FF713B">
        <w:rPr>
          <w:rFonts w:ascii="Times New Roman" w:eastAsia="Times New Roman" w:hAnsi="Times New Roman" w:cs="Times New Roman"/>
          <w:b/>
          <w:bCs/>
          <w:highlight w:val="white"/>
        </w:rPr>
        <w:t xml:space="preserve"> A saúde e o dilema da intersetorialidade</w:t>
      </w:r>
      <w:r w:rsidRPr="00FF713B">
        <w:rPr>
          <w:rFonts w:ascii="Times New Roman" w:eastAsia="Times New Roman" w:hAnsi="Times New Roman" w:cs="Times New Roman"/>
          <w:highlight w:val="white"/>
        </w:rPr>
        <w:t>. São Paulo: Hucitec, 2006.</w:t>
      </w:r>
    </w:p>
    <w:p w14:paraId="4E150021"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BARDIN, Laurence. </w:t>
      </w:r>
      <w:r w:rsidRPr="00FF713B">
        <w:rPr>
          <w:rFonts w:ascii="Times New Roman" w:eastAsia="Times New Roman" w:hAnsi="Times New Roman" w:cs="Times New Roman"/>
          <w:b/>
          <w:bCs/>
          <w:highlight w:val="white"/>
        </w:rPr>
        <w:t>Análise de conteúdo</w:t>
      </w:r>
      <w:r w:rsidRPr="00FF713B">
        <w:rPr>
          <w:rFonts w:ascii="Times New Roman" w:eastAsia="Times New Roman" w:hAnsi="Times New Roman" w:cs="Times New Roman"/>
          <w:highlight w:val="white"/>
        </w:rPr>
        <w:t>. 4. ed.  Lisboa: Edições 70, 2009.</w:t>
      </w:r>
    </w:p>
    <w:p w14:paraId="3A840A0C" w14:textId="7871F723"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BOGDAN, Robert; BIKLEN, Sari. </w:t>
      </w:r>
      <w:r w:rsidRPr="00FF713B">
        <w:rPr>
          <w:rFonts w:ascii="Times New Roman" w:eastAsia="Times New Roman" w:hAnsi="Times New Roman" w:cs="Times New Roman"/>
          <w:b/>
          <w:bCs/>
          <w:highlight w:val="white"/>
        </w:rPr>
        <w:t>Investigação qualitativa em educação</w:t>
      </w:r>
      <w:r w:rsidRPr="00FF713B">
        <w:rPr>
          <w:rFonts w:ascii="Times New Roman" w:eastAsia="Times New Roman" w:hAnsi="Times New Roman" w:cs="Times New Roman"/>
          <w:highlight w:val="white"/>
        </w:rPr>
        <w:t>: uma introdução à teoria e aos métodos, Porto Editora, 1994.</w:t>
      </w:r>
    </w:p>
    <w:p w14:paraId="10AD3A56" w14:textId="6BED2A4D" w:rsidR="00723B06"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BEHRING, Elaine Rosseti; BOSCHETTI, Ivanete. </w:t>
      </w:r>
      <w:r w:rsidRPr="00FF713B">
        <w:rPr>
          <w:rFonts w:ascii="Times New Roman" w:eastAsia="Times New Roman" w:hAnsi="Times New Roman" w:cs="Times New Roman"/>
          <w:b/>
          <w:bCs/>
        </w:rPr>
        <w:t>Política Social</w:t>
      </w:r>
      <w:r w:rsidRPr="00FF713B">
        <w:rPr>
          <w:rFonts w:ascii="Times New Roman" w:eastAsia="Times New Roman" w:hAnsi="Times New Roman" w:cs="Times New Roman"/>
        </w:rPr>
        <w:t>: fundamentos e história.</w:t>
      </w:r>
      <w:r w:rsidR="004429D1">
        <w:rPr>
          <w:rFonts w:ascii="Times New Roman" w:eastAsia="Times New Roman" w:hAnsi="Times New Roman" w:cs="Times New Roman"/>
        </w:rPr>
        <w:t xml:space="preserve"> </w:t>
      </w:r>
      <w:r w:rsidRPr="00FF713B">
        <w:rPr>
          <w:rFonts w:ascii="Times New Roman" w:eastAsia="Times New Roman" w:hAnsi="Times New Roman" w:cs="Times New Roman"/>
        </w:rPr>
        <w:t>São Paulo: Cortez, 2016.</w:t>
      </w:r>
    </w:p>
    <w:p w14:paraId="7B72683A"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w:t>
      </w:r>
      <w:r w:rsidRPr="00FF713B">
        <w:rPr>
          <w:rFonts w:ascii="Times New Roman" w:eastAsia="Times New Roman" w:hAnsi="Times New Roman" w:cs="Times New Roman"/>
          <w:b/>
          <w:bCs/>
        </w:rPr>
        <w:t xml:space="preserve"> Lei nº 6.251, de 8 de outubro de 1975</w:t>
      </w:r>
      <w:r w:rsidRPr="00FF713B">
        <w:rPr>
          <w:rFonts w:ascii="Times New Roman" w:eastAsia="Times New Roman" w:hAnsi="Times New Roman" w:cs="Times New Roman"/>
        </w:rPr>
        <w:t xml:space="preserve">.  Brasília, Câmara dos Deputados, 1975. Disponível em: </w:t>
      </w:r>
      <w:hyperlink r:id="rId8">
        <w:r w:rsidR="00E57E64" w:rsidRPr="00FF713B">
          <w:rPr>
            <w:rFonts w:ascii="Times New Roman" w:eastAsia="Times New Roman" w:hAnsi="Times New Roman" w:cs="Times New Roman"/>
            <w:color w:val="1155CC"/>
            <w:u w:val="single"/>
          </w:rPr>
          <w:t>www2.camara.leg.br/legin/fed/lei/1970-1979/lei-6251-8-outubro-1975-357712-publicacaooriginal-1-pl.html</w:t>
        </w:r>
      </w:hyperlink>
      <w:r w:rsidRPr="00FF713B">
        <w:rPr>
          <w:rFonts w:ascii="Times New Roman" w:eastAsia="Times New Roman" w:hAnsi="Times New Roman" w:cs="Times New Roman"/>
        </w:rPr>
        <w:t xml:space="preserve">. Acesso em: 25 de abr. de 2026. </w:t>
      </w:r>
    </w:p>
    <w:p w14:paraId="6F157586" w14:textId="5E8791E3"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w:t>
      </w:r>
      <w:r w:rsidRPr="00FF713B">
        <w:rPr>
          <w:rFonts w:ascii="Times New Roman" w:eastAsia="Times New Roman" w:hAnsi="Times New Roman" w:cs="Times New Roman"/>
          <w:b/>
          <w:bCs/>
        </w:rPr>
        <w:t>Decreto nº 91.452, de 19 de julho de 1985</w:t>
      </w:r>
      <w:r w:rsidRPr="00FF713B">
        <w:rPr>
          <w:rFonts w:ascii="Times New Roman" w:eastAsia="Times New Roman" w:hAnsi="Times New Roman" w:cs="Times New Roman"/>
        </w:rPr>
        <w:t xml:space="preserve">. Institui Comissão para realizar estudos sobre o desporto nacional. Brasília, Câmara dos Deputados, 1985. </w:t>
      </w:r>
    </w:p>
    <w:p w14:paraId="37B5A43F"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w:t>
      </w:r>
      <w:r w:rsidRPr="00FF713B">
        <w:rPr>
          <w:rFonts w:ascii="Times New Roman" w:eastAsia="Times New Roman" w:hAnsi="Times New Roman" w:cs="Times New Roman"/>
          <w:b/>
          <w:bCs/>
        </w:rPr>
        <w:t>Constituição da República Federativa do Brasil de 1988</w:t>
      </w:r>
      <w:r w:rsidRPr="00FF713B">
        <w:rPr>
          <w:rFonts w:ascii="Times New Roman" w:eastAsia="Times New Roman" w:hAnsi="Times New Roman" w:cs="Times New Roman"/>
        </w:rPr>
        <w:t xml:space="preserve">. Brasília, DF: Senado Federal, 1988. Disponível em: </w:t>
      </w:r>
      <w:hyperlink r:id="rId9">
        <w:r w:rsidR="00E57E64" w:rsidRPr="00FF713B">
          <w:rPr>
            <w:rFonts w:ascii="Times New Roman" w:eastAsia="Times New Roman" w:hAnsi="Times New Roman" w:cs="Times New Roman"/>
            <w:color w:val="1155CC"/>
            <w:u w:val="single"/>
          </w:rPr>
          <w:t>https://www.planalto.gov.br/ccivil_03/constituicao/constituicao.htm</w:t>
        </w:r>
      </w:hyperlink>
      <w:r w:rsidRPr="00FF713B">
        <w:rPr>
          <w:rFonts w:ascii="Times New Roman" w:eastAsia="Times New Roman" w:hAnsi="Times New Roman" w:cs="Times New Roman"/>
        </w:rPr>
        <w:t>. Acesso em: 20 abr. 2026.</w:t>
      </w:r>
    </w:p>
    <w:p w14:paraId="7690247D"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w:t>
      </w:r>
      <w:r w:rsidRPr="00FF713B">
        <w:rPr>
          <w:rFonts w:ascii="Times New Roman" w:eastAsia="Times New Roman" w:hAnsi="Times New Roman" w:cs="Times New Roman"/>
          <w:b/>
          <w:bCs/>
        </w:rPr>
        <w:t>Lei nº 9.615, de 24 de março de 1998</w:t>
      </w:r>
      <w:r w:rsidRPr="00FF713B">
        <w:rPr>
          <w:rFonts w:ascii="Times New Roman" w:eastAsia="Times New Roman" w:hAnsi="Times New Roman" w:cs="Times New Roman"/>
        </w:rPr>
        <w:t xml:space="preserve">. Institui normas gerais sobre desporto e dá outras providências. Diário Oficial da União: Brasília, DF, 25 mar. 1998. Disponível em: </w:t>
      </w:r>
      <w:hyperlink r:id="rId10">
        <w:r w:rsidR="00E57E64" w:rsidRPr="00FF713B">
          <w:rPr>
            <w:rFonts w:ascii="Times New Roman" w:eastAsia="Times New Roman" w:hAnsi="Times New Roman" w:cs="Times New Roman"/>
            <w:color w:val="1155CC"/>
            <w:u w:val="single"/>
          </w:rPr>
          <w:t>https://www.planalto.gov.br/ccivil_03/leis/l9615compilada.htm</w:t>
        </w:r>
      </w:hyperlink>
      <w:r w:rsidRPr="00FF713B">
        <w:rPr>
          <w:rFonts w:ascii="Times New Roman" w:eastAsia="Times New Roman" w:hAnsi="Times New Roman" w:cs="Times New Roman"/>
        </w:rPr>
        <w:t>. Acesso em: 20 abr. 2026.</w:t>
      </w:r>
    </w:p>
    <w:p w14:paraId="05CC52CA" w14:textId="77777777" w:rsidR="00E57E64" w:rsidRPr="00FF713B" w:rsidRDefault="00B8310D" w:rsidP="00FF713B">
      <w:pPr>
        <w:spacing w:before="40" w:after="40" w:line="240" w:lineRule="auto"/>
        <w:ind w:firstLine="0"/>
        <w:rPr>
          <w:rFonts w:ascii="Times New Roman" w:eastAsia="Times New Roman" w:hAnsi="Times New Roman" w:cs="Times New Roman"/>
          <w:highlight w:val="yellow"/>
        </w:rPr>
      </w:pPr>
      <w:r w:rsidRPr="00FF713B">
        <w:rPr>
          <w:rFonts w:ascii="Times New Roman" w:eastAsia="Times New Roman" w:hAnsi="Times New Roman" w:cs="Times New Roman"/>
        </w:rPr>
        <w:t xml:space="preserve">BRASIL. Ministério da Educação; Ministério do Esporte. </w:t>
      </w:r>
      <w:r w:rsidRPr="00FF713B">
        <w:rPr>
          <w:rFonts w:ascii="Times New Roman" w:eastAsia="Times New Roman" w:hAnsi="Times New Roman" w:cs="Times New Roman"/>
          <w:b/>
          <w:bCs/>
        </w:rPr>
        <w:t>Portaria interministerial nº 3.497, de 24 de novembro de 2003</w:t>
      </w:r>
      <w:r w:rsidRPr="00FF713B">
        <w:rPr>
          <w:rFonts w:ascii="Times New Roman" w:eastAsia="Times New Roman" w:hAnsi="Times New Roman" w:cs="Times New Roman"/>
        </w:rPr>
        <w:t xml:space="preserve">. Institui o Projeto Segundo Tempo. </w:t>
      </w:r>
      <w:r w:rsidRPr="00FF713B">
        <w:rPr>
          <w:rFonts w:ascii="Times New Roman" w:eastAsia="Times New Roman" w:hAnsi="Times New Roman" w:cs="Times New Roman"/>
          <w:i/>
          <w:iCs/>
        </w:rPr>
        <w:t>Diário Oficial da União: seção 1</w:t>
      </w:r>
      <w:r w:rsidRPr="00FF713B">
        <w:rPr>
          <w:rFonts w:ascii="Times New Roman" w:eastAsia="Times New Roman" w:hAnsi="Times New Roman" w:cs="Times New Roman"/>
        </w:rPr>
        <w:t xml:space="preserve">, Brasília, DF, n. 229, 25 Nov. 2003. Disponível em: </w:t>
      </w:r>
      <w:hyperlink r:id="rId11">
        <w:r w:rsidR="00E57E64" w:rsidRPr="00FF713B">
          <w:rPr>
            <w:rFonts w:ascii="Times New Roman" w:eastAsia="Times New Roman" w:hAnsi="Times New Roman" w:cs="Times New Roman"/>
            <w:color w:val="1155CC"/>
            <w:u w:val="single"/>
          </w:rPr>
          <w:t>https://www.gov.br/fazenda/pt-br/acesso-a-informacao/institucional/legislacao/portarias-interministeriais/2003/arquivos-1/portaria-interministerial-no-3-497-de-24-de-novembro-de-2003.pdf</w:t>
        </w:r>
      </w:hyperlink>
      <w:r w:rsidRPr="00FF713B">
        <w:rPr>
          <w:rFonts w:ascii="Times New Roman" w:eastAsia="Times New Roman" w:hAnsi="Times New Roman" w:cs="Times New Roman"/>
        </w:rPr>
        <w:t xml:space="preserve">. Acesso em: 20 abr. 2026. </w:t>
      </w:r>
    </w:p>
    <w:p w14:paraId="6CC1786A" w14:textId="77777777" w:rsidR="00E57E64" w:rsidRPr="00FF713B" w:rsidRDefault="00B8310D" w:rsidP="00FF713B">
      <w:pPr>
        <w:spacing w:before="40" w:after="40" w:line="240" w:lineRule="auto"/>
        <w:ind w:firstLine="0"/>
        <w:rPr>
          <w:rFonts w:ascii="Times New Roman" w:eastAsia="Times New Roman" w:hAnsi="Times New Roman" w:cs="Times New Roman"/>
          <w:highlight w:val="yellow"/>
        </w:rPr>
      </w:pPr>
      <w:r w:rsidRPr="00FF713B">
        <w:rPr>
          <w:rFonts w:ascii="Times New Roman" w:eastAsia="Times New Roman" w:hAnsi="Times New Roman" w:cs="Times New Roman"/>
        </w:rPr>
        <w:t xml:space="preserve">BRASIL. </w:t>
      </w:r>
      <w:r w:rsidRPr="00FF713B">
        <w:rPr>
          <w:rFonts w:ascii="Times New Roman" w:eastAsia="Times New Roman" w:hAnsi="Times New Roman" w:cs="Times New Roman"/>
          <w:b/>
          <w:bCs/>
        </w:rPr>
        <w:t>Lei nº 14.597, de 14 de junho de 2023</w:t>
      </w:r>
      <w:r w:rsidRPr="00FF713B">
        <w:rPr>
          <w:rFonts w:ascii="Times New Roman" w:eastAsia="Times New Roman" w:hAnsi="Times New Roman" w:cs="Times New Roman"/>
        </w:rPr>
        <w:t xml:space="preserve">. Institui a Lei Geral do Esporte. Diário Oficial da União: Brasília, DF, 15 jun. 2023a. Disponível em: </w:t>
      </w:r>
      <w:hyperlink r:id="rId12">
        <w:r w:rsidR="00E57E64" w:rsidRPr="00FF713B">
          <w:rPr>
            <w:rFonts w:ascii="Times New Roman" w:eastAsia="Times New Roman" w:hAnsi="Times New Roman" w:cs="Times New Roman"/>
            <w:color w:val="1155CC"/>
            <w:u w:val="single"/>
          </w:rPr>
          <w:t>https://www.planalto.gov.br/ccivil_03/_ato2023-2026/2023/lei/l14597.htm</w:t>
        </w:r>
      </w:hyperlink>
      <w:r w:rsidRPr="00FF713B">
        <w:rPr>
          <w:rFonts w:ascii="Times New Roman" w:eastAsia="Times New Roman" w:hAnsi="Times New Roman" w:cs="Times New Roman"/>
        </w:rPr>
        <w:t xml:space="preserve">. Acesso em: 20 abr. 2026. </w:t>
      </w:r>
    </w:p>
    <w:p w14:paraId="7B927940" w14:textId="77777777" w:rsidR="00E57E64" w:rsidRPr="00FF713B" w:rsidRDefault="00B8310D" w:rsidP="00FF713B">
      <w:pPr>
        <w:spacing w:before="40" w:after="40" w:line="240" w:lineRule="auto"/>
        <w:ind w:firstLine="0"/>
        <w:rPr>
          <w:rFonts w:ascii="Times New Roman" w:eastAsia="Times New Roman" w:hAnsi="Times New Roman" w:cs="Times New Roman"/>
          <w:highlight w:val="yellow"/>
        </w:rPr>
      </w:pPr>
      <w:r w:rsidRPr="00FF713B">
        <w:rPr>
          <w:rFonts w:ascii="Times New Roman" w:eastAsia="Times New Roman" w:hAnsi="Times New Roman" w:cs="Times New Roman"/>
        </w:rPr>
        <w:t xml:space="preserve">BRASIL. Ministério do Esporte. </w:t>
      </w:r>
      <w:r w:rsidRPr="00FF713B">
        <w:rPr>
          <w:rFonts w:ascii="Times New Roman" w:eastAsia="Times New Roman" w:hAnsi="Times New Roman" w:cs="Times New Roman"/>
          <w:b/>
          <w:bCs/>
        </w:rPr>
        <w:t>Decreto nº 11.766, de 2023</w:t>
      </w:r>
      <w:r w:rsidRPr="00FF713B">
        <w:rPr>
          <w:rFonts w:ascii="Times New Roman" w:eastAsia="Times New Roman" w:hAnsi="Times New Roman" w:cs="Times New Roman"/>
        </w:rPr>
        <w:t xml:space="preserve">. Institui a Rede de Desenvolvimento do Esporte. Brasília, DF: Diário Oficial da União, 2023b. Disponível em: </w:t>
      </w:r>
      <w:hyperlink r:id="rId13">
        <w:r w:rsidR="00E57E64" w:rsidRPr="00FF713B">
          <w:rPr>
            <w:rFonts w:ascii="Times New Roman" w:eastAsia="Times New Roman" w:hAnsi="Times New Roman" w:cs="Times New Roman"/>
            <w:color w:val="1155CC"/>
            <w:u w:val="single"/>
          </w:rPr>
          <w:t>https://www.planalto.gov.br/ccivil_03/_ato2023-2026/2023/decreto/d11766.htm</w:t>
        </w:r>
      </w:hyperlink>
      <w:r w:rsidRPr="00FF713B">
        <w:rPr>
          <w:rFonts w:ascii="Times New Roman" w:eastAsia="Times New Roman" w:hAnsi="Times New Roman" w:cs="Times New Roman"/>
        </w:rPr>
        <w:t>. Acesso em: 20 abr. 2026.</w:t>
      </w:r>
    </w:p>
    <w:p w14:paraId="39B1D6E4"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Ministério do Esporte. </w:t>
      </w:r>
      <w:r w:rsidRPr="00FF713B">
        <w:rPr>
          <w:rFonts w:ascii="Times New Roman" w:eastAsia="Times New Roman" w:hAnsi="Times New Roman" w:cs="Times New Roman"/>
          <w:b/>
          <w:bCs/>
        </w:rPr>
        <w:t>Diretriz do Programa Segundo Tempo (PST):</w:t>
      </w:r>
      <w:r w:rsidRPr="00FF713B">
        <w:rPr>
          <w:rFonts w:ascii="Times New Roman" w:eastAsia="Times New Roman" w:hAnsi="Times New Roman" w:cs="Times New Roman"/>
        </w:rPr>
        <w:t xml:space="preserve"> padrão 2023-2026. Brasília, DF: Ministério do Esporte</w:t>
      </w:r>
      <w:r w:rsidRPr="00FF713B">
        <w:rPr>
          <w:rFonts w:ascii="Times New Roman" w:eastAsia="Times New Roman" w:hAnsi="Times New Roman" w:cs="Times New Roman"/>
          <w:highlight w:val="white"/>
        </w:rPr>
        <w:t>, 2023c.</w:t>
      </w:r>
      <w:r w:rsidRPr="00FF713B">
        <w:rPr>
          <w:rFonts w:ascii="Times New Roman" w:eastAsia="Times New Roman" w:hAnsi="Times New Roman" w:cs="Times New Roman"/>
        </w:rPr>
        <w:t xml:space="preserve"> Disponível em:</w:t>
      </w:r>
      <w:hyperlink r:id="rId14">
        <w:r w:rsidR="00E57E64" w:rsidRPr="00FF713B">
          <w:rPr>
            <w:rFonts w:ascii="Times New Roman" w:eastAsia="Times New Roman" w:hAnsi="Times New Roman" w:cs="Times New Roman"/>
          </w:rPr>
          <w:t xml:space="preserve"> </w:t>
        </w:r>
      </w:hyperlink>
      <w:hyperlink r:id="rId15">
        <w:r w:rsidR="00E57E64" w:rsidRPr="00FF713B">
          <w:rPr>
            <w:rFonts w:ascii="Times New Roman" w:eastAsia="Times New Roman" w:hAnsi="Times New Roman" w:cs="Times New Roman"/>
            <w:color w:val="3867CE"/>
          </w:rPr>
          <w:t>https://www.gov.br/esporte/pt-br/acoes-e-programas/programa-segundo-tempo-pst/DiretrizesPSTPadro17052023FINAL.pdf</w:t>
        </w:r>
      </w:hyperlink>
      <w:r w:rsidRPr="00FF713B">
        <w:rPr>
          <w:rFonts w:ascii="Times New Roman" w:eastAsia="Times New Roman" w:hAnsi="Times New Roman" w:cs="Times New Roman"/>
        </w:rPr>
        <w:t>. Acesso em: 21 abr. 2026.</w:t>
      </w:r>
    </w:p>
    <w:p w14:paraId="35A3209E"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Ministério do Esporte. </w:t>
      </w:r>
      <w:r w:rsidRPr="00FF713B">
        <w:rPr>
          <w:rFonts w:ascii="Times New Roman" w:eastAsia="Times New Roman" w:hAnsi="Times New Roman" w:cs="Times New Roman"/>
          <w:b/>
          <w:bCs/>
        </w:rPr>
        <w:t>Edital de chamamento público nº 4/2023</w:t>
      </w:r>
      <w:r w:rsidRPr="00FF713B">
        <w:rPr>
          <w:rFonts w:ascii="Times New Roman" w:eastAsia="Times New Roman" w:hAnsi="Times New Roman" w:cs="Times New Roman"/>
        </w:rPr>
        <w:t xml:space="preserve">: seleção pública de propostas para apoio financeiro aos projetos voltados à implementação e desenvolvimento do Programa Segundo Tempo – PST padrão. Brasília, DF: Ministério do Esporte, 2023d. Disponível em: </w:t>
      </w:r>
      <w:hyperlink r:id="rId16">
        <w:r w:rsidR="00E57E64" w:rsidRPr="00FF713B">
          <w:rPr>
            <w:rFonts w:ascii="Times New Roman" w:eastAsia="Times New Roman" w:hAnsi="Times New Roman" w:cs="Times New Roman"/>
            <w:color w:val="1155CC"/>
            <w:u w:val="single"/>
          </w:rPr>
          <w:t>https://www.gov.br/esporte/pt-br/noticias-e-conteudos/esporte/copy_of_EDITALN.42023PSTPADRO.pdf/@@display-file/file</w:t>
        </w:r>
      </w:hyperlink>
      <w:r w:rsidRPr="00FF713B">
        <w:rPr>
          <w:rFonts w:ascii="Times New Roman" w:eastAsia="Times New Roman" w:hAnsi="Times New Roman" w:cs="Times New Roman"/>
        </w:rPr>
        <w:t xml:space="preserve">. Acesso em: 20 abr. 2026. </w:t>
      </w:r>
    </w:p>
    <w:p w14:paraId="4AFD102A" w14:textId="77777777" w:rsidR="00E57E64" w:rsidRPr="00A26BA8"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BRASIL. Ministério do Esporte. </w:t>
      </w:r>
      <w:r w:rsidRPr="00FF713B">
        <w:rPr>
          <w:rFonts w:ascii="Times New Roman" w:eastAsia="Times New Roman" w:hAnsi="Times New Roman" w:cs="Times New Roman"/>
          <w:b/>
          <w:bCs/>
        </w:rPr>
        <w:t>Promulgação das partes vetadas da Lei Geral do Esporte</w:t>
      </w:r>
      <w:r w:rsidRPr="00FF713B">
        <w:rPr>
          <w:rFonts w:ascii="Times New Roman" w:eastAsia="Times New Roman" w:hAnsi="Times New Roman" w:cs="Times New Roman"/>
        </w:rPr>
        <w:t xml:space="preserve">. Diário Oficial da União: Brasília, DF, 2024. Disponível em: </w:t>
      </w:r>
      <w:hyperlink r:id="rId17" w:anchor="promulgacao">
        <w:r w:rsidR="00E57E64" w:rsidRPr="00FF713B">
          <w:rPr>
            <w:rFonts w:ascii="Times New Roman" w:eastAsia="Times New Roman" w:hAnsi="Times New Roman" w:cs="Times New Roman"/>
            <w:color w:val="1155CC"/>
            <w:u w:val="single"/>
          </w:rPr>
          <w:t>https://www.planalto.gov.br/ccivil_03/_ato2023-2026/2023/lei/l14597.htm#promulgacao</w:t>
        </w:r>
      </w:hyperlink>
      <w:r w:rsidRPr="00FF713B">
        <w:rPr>
          <w:rFonts w:ascii="Times New Roman" w:eastAsia="Times New Roman" w:hAnsi="Times New Roman" w:cs="Times New Roman"/>
        </w:rPr>
        <w:t xml:space="preserve">. </w:t>
      </w:r>
      <w:r w:rsidRPr="00A26BA8">
        <w:rPr>
          <w:rFonts w:ascii="Times New Roman" w:eastAsia="Times New Roman" w:hAnsi="Times New Roman" w:cs="Times New Roman"/>
        </w:rPr>
        <w:t>Acesso em: 20 abr. 2026.</w:t>
      </w:r>
    </w:p>
    <w:p w14:paraId="6FC4FD94" w14:textId="77777777" w:rsidR="00E57E64" w:rsidRPr="00A26BA8" w:rsidRDefault="00B8310D" w:rsidP="00FF713B">
      <w:pPr>
        <w:spacing w:before="40" w:after="40" w:line="240" w:lineRule="auto"/>
        <w:ind w:firstLine="0"/>
        <w:rPr>
          <w:rFonts w:ascii="Times New Roman" w:eastAsia="Times New Roman" w:hAnsi="Times New Roman" w:cs="Times New Roman"/>
        </w:rPr>
      </w:pPr>
      <w:r w:rsidRPr="00A26BA8">
        <w:rPr>
          <w:rFonts w:ascii="Times New Roman" w:eastAsia="Times New Roman" w:hAnsi="Times New Roman" w:cs="Times New Roman"/>
        </w:rPr>
        <w:t xml:space="preserve">CASTELLANI FILHO, Lino. O Estado Brasileiro e os Direitos Sociais: O Esporte. In: Húngaro, Edson Marcelo; Damasceno, Luciano Galvão; Garcia, Carla Cristina (Orgs.). </w:t>
      </w:r>
      <w:r w:rsidRPr="00A26BA8">
        <w:rPr>
          <w:rFonts w:ascii="Times New Roman" w:eastAsia="Times New Roman" w:hAnsi="Times New Roman" w:cs="Times New Roman"/>
          <w:b/>
          <w:bCs/>
        </w:rPr>
        <w:t>Estado, política e emancipação humana:</w:t>
      </w:r>
      <w:r w:rsidRPr="00A26BA8">
        <w:rPr>
          <w:rFonts w:ascii="Times New Roman" w:eastAsia="Times New Roman" w:hAnsi="Times New Roman" w:cs="Times New Roman"/>
        </w:rPr>
        <w:t xml:space="preserve"> lazer, educação, esporte e saúde como direitos sociais. Santo André, SP: Alpharrabio, 2008. p. 129-144.</w:t>
      </w:r>
    </w:p>
    <w:p w14:paraId="1EAE6CCC" w14:textId="77777777" w:rsidR="00E57E64" w:rsidRPr="00FF713B" w:rsidRDefault="00B8310D" w:rsidP="00FF713B">
      <w:pPr>
        <w:spacing w:before="40" w:after="40" w:line="240" w:lineRule="auto"/>
        <w:ind w:firstLine="0"/>
        <w:rPr>
          <w:rFonts w:ascii="Times New Roman" w:eastAsia="Times New Roman" w:hAnsi="Times New Roman" w:cs="Times New Roman"/>
          <w:color w:val="1155CC"/>
          <w:highlight w:val="white"/>
          <w:u w:val="single"/>
        </w:rPr>
      </w:pPr>
      <w:r w:rsidRPr="00A26BA8">
        <w:rPr>
          <w:rFonts w:ascii="Times New Roman" w:eastAsia="Times New Roman" w:hAnsi="Times New Roman" w:cs="Times New Roman"/>
        </w:rPr>
        <w:t>CASTRO, Suélen Barboza Eiras de Castro</w:t>
      </w:r>
      <w:r w:rsidRPr="00FF713B">
        <w:rPr>
          <w:rFonts w:ascii="Times New Roman" w:eastAsia="Times New Roman" w:hAnsi="Times New Roman" w:cs="Times New Roman"/>
          <w:highlight w:val="white"/>
        </w:rPr>
        <w:t xml:space="preserve">; SCARPIN, Jorge Eduardo; SOUZA, Doralice Lange de. Financiamento Público e Esporte Educacional: uma análise do processo orçamentário do programa "Segundo Tempo" (2004-2011). </w:t>
      </w:r>
      <w:r w:rsidRPr="00FF713B">
        <w:rPr>
          <w:rFonts w:ascii="Times New Roman" w:eastAsia="Times New Roman" w:hAnsi="Times New Roman" w:cs="Times New Roman"/>
          <w:b/>
          <w:bCs/>
          <w:highlight w:val="white"/>
        </w:rPr>
        <w:t>Motrivivência</w:t>
      </w:r>
      <w:r w:rsidRPr="00FF713B">
        <w:rPr>
          <w:rFonts w:ascii="Times New Roman" w:eastAsia="Times New Roman" w:hAnsi="Times New Roman" w:cs="Times New Roman"/>
          <w:highlight w:val="white"/>
        </w:rPr>
        <w:t>, v. 29, n. 52, p. 136-156 2017. DOI:</w:t>
      </w:r>
      <w:hyperlink r:id="rId18">
        <w:r w:rsidR="00E57E64" w:rsidRPr="00FF713B">
          <w:rPr>
            <w:rFonts w:ascii="Times New Roman" w:eastAsia="Times New Roman" w:hAnsi="Times New Roman" w:cs="Times New Roman"/>
            <w:highlight w:val="white"/>
          </w:rPr>
          <w:t xml:space="preserve"> </w:t>
        </w:r>
      </w:hyperlink>
      <w:hyperlink r:id="rId19">
        <w:r w:rsidR="00E57E64" w:rsidRPr="00FF713B">
          <w:rPr>
            <w:rFonts w:ascii="Times New Roman" w:eastAsia="Times New Roman" w:hAnsi="Times New Roman" w:cs="Times New Roman"/>
            <w:color w:val="1155CC"/>
            <w:highlight w:val="white"/>
            <w:u w:val="single"/>
          </w:rPr>
          <w:t>https://doi.org/10.5007/2175-8042.2017v29n52p136</w:t>
        </w:r>
      </w:hyperlink>
    </w:p>
    <w:p w14:paraId="41BD19E0" w14:textId="2295ACCF"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DRAIBE, Sônia M. As políticas sociais e o neoliberalismo - Reflexões suscitadas pelas experiências latino-americanas. </w:t>
      </w:r>
      <w:r w:rsidRPr="00FF713B">
        <w:rPr>
          <w:rFonts w:ascii="Times New Roman" w:eastAsia="Times New Roman" w:hAnsi="Times New Roman" w:cs="Times New Roman"/>
          <w:b/>
          <w:bCs/>
        </w:rPr>
        <w:t>Revista USP</w:t>
      </w:r>
      <w:r w:rsidRPr="00FF713B">
        <w:rPr>
          <w:rFonts w:ascii="Times New Roman" w:eastAsia="Times New Roman" w:hAnsi="Times New Roman" w:cs="Times New Roman"/>
        </w:rPr>
        <w:t xml:space="preserve">, São Paulo, Brasil, n. 17, p. 86-101, 1993. DOI: </w:t>
      </w:r>
      <w:hyperlink r:id="rId20">
        <w:r w:rsidR="00E57E64" w:rsidRPr="00FF713B">
          <w:rPr>
            <w:rFonts w:ascii="Times New Roman" w:eastAsia="Times New Roman" w:hAnsi="Times New Roman" w:cs="Times New Roman"/>
            <w:color w:val="1155CC"/>
            <w:highlight w:val="white"/>
            <w:u w:val="single"/>
          </w:rPr>
          <w:t>https://doi.org/</w:t>
        </w:r>
      </w:hyperlink>
      <w:hyperlink r:id="rId21">
        <w:r w:rsidR="00E57E64" w:rsidRPr="00FF713B">
          <w:rPr>
            <w:rFonts w:ascii="Times New Roman" w:eastAsia="Times New Roman" w:hAnsi="Times New Roman" w:cs="Times New Roman"/>
            <w:color w:val="1155CC"/>
            <w:u w:val="single"/>
          </w:rPr>
          <w:t>10.11606/issn.2316-9036.v0i17p86-101</w:t>
        </w:r>
      </w:hyperlink>
      <w:r w:rsidRPr="00FF713B">
        <w:rPr>
          <w:rFonts w:ascii="Times New Roman" w:eastAsia="Times New Roman" w:hAnsi="Times New Roman" w:cs="Times New Roman"/>
        </w:rPr>
        <w:t xml:space="preserve">. </w:t>
      </w:r>
    </w:p>
    <w:p w14:paraId="3FC723E2" w14:textId="6313477B"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color w:val="222222"/>
          <w:highlight w:val="white"/>
        </w:rPr>
        <w:t xml:space="preserve">FARAH, Marta Ferreira S. Parcerias, novos arranjos institucionais e políticas públicas locais. </w:t>
      </w:r>
      <w:r w:rsidRPr="00FF713B">
        <w:rPr>
          <w:rFonts w:ascii="Times New Roman" w:eastAsia="Times New Roman" w:hAnsi="Times New Roman" w:cs="Times New Roman"/>
          <w:b/>
          <w:bCs/>
          <w:color w:val="222222"/>
          <w:highlight w:val="white"/>
        </w:rPr>
        <w:t>Cadernos Gestão Pública e Cidadania</w:t>
      </w:r>
      <w:r w:rsidRPr="00FF713B">
        <w:rPr>
          <w:rFonts w:ascii="Times New Roman" w:eastAsia="Times New Roman" w:hAnsi="Times New Roman" w:cs="Times New Roman"/>
          <w:color w:val="222222"/>
          <w:highlight w:val="white"/>
        </w:rPr>
        <w:t>, São Paulo, v. 5, n. 18, 2000.  DOI:</w:t>
      </w:r>
      <w:hyperlink r:id="rId22">
        <w:r w:rsidR="00E57E64" w:rsidRPr="00FF713B">
          <w:rPr>
            <w:rFonts w:ascii="Times New Roman" w:eastAsia="Times New Roman" w:hAnsi="Times New Roman" w:cs="Times New Roman"/>
            <w:color w:val="222222"/>
            <w:highlight w:val="white"/>
          </w:rPr>
          <w:t xml:space="preserve"> </w:t>
        </w:r>
      </w:hyperlink>
      <w:hyperlink r:id="rId23">
        <w:r w:rsidR="00E57E64" w:rsidRPr="00FF713B">
          <w:rPr>
            <w:rFonts w:ascii="Times New Roman" w:eastAsia="Times New Roman" w:hAnsi="Times New Roman" w:cs="Times New Roman"/>
            <w:color w:val="1155CC"/>
            <w:highlight w:val="white"/>
            <w:u w:val="single"/>
          </w:rPr>
          <w:t>https://doi.org://10.12660/cgpc.v5n18.43841</w:t>
        </w:r>
      </w:hyperlink>
    </w:p>
    <w:p w14:paraId="55B8771B" w14:textId="77777777" w:rsidR="00E57E64" w:rsidRPr="00FF713B" w:rsidRDefault="00B8310D" w:rsidP="00FF713B">
      <w:pPr>
        <w:spacing w:before="40" w:after="40" w:line="240" w:lineRule="auto"/>
        <w:ind w:firstLine="0"/>
        <w:rPr>
          <w:rFonts w:ascii="Times New Roman" w:eastAsia="Times New Roman" w:hAnsi="Times New Roman" w:cs="Times New Roman"/>
          <w:color w:val="1155CC"/>
          <w:u w:val="single"/>
        </w:rPr>
      </w:pPr>
      <w:r w:rsidRPr="00FF713B">
        <w:rPr>
          <w:rFonts w:ascii="Times New Roman" w:eastAsia="Times New Roman" w:hAnsi="Times New Roman" w:cs="Times New Roman"/>
          <w:highlight w:val="white"/>
        </w:rPr>
        <w:t xml:space="preserve">GRIN, Eduardo José; ABRUCIO, Fernando Luiz. O elo perdido da descentralização no Brasil: a promoção das capacidades estatais municipais pelo governo federal. </w:t>
      </w:r>
      <w:r w:rsidRPr="00FF713B">
        <w:rPr>
          <w:rFonts w:ascii="Times New Roman" w:eastAsia="Times New Roman" w:hAnsi="Times New Roman" w:cs="Times New Roman"/>
          <w:b/>
          <w:bCs/>
          <w:highlight w:val="white"/>
        </w:rPr>
        <w:t>Revista de Sociologia e Política</w:t>
      </w:r>
      <w:r w:rsidRPr="00FF713B">
        <w:rPr>
          <w:rFonts w:ascii="Times New Roman" w:eastAsia="Times New Roman" w:hAnsi="Times New Roman" w:cs="Times New Roman"/>
          <w:highlight w:val="white"/>
        </w:rPr>
        <w:t>, v. 29, n. 77, e002, 2021</w:t>
      </w:r>
      <w:r w:rsidRPr="00FF713B">
        <w:rPr>
          <w:rFonts w:ascii="Times New Roman" w:eastAsia="Times New Roman" w:hAnsi="Times New Roman" w:cs="Times New Roman"/>
        </w:rPr>
        <w:t>. DOI:</w:t>
      </w:r>
      <w:hyperlink r:id="rId24">
        <w:r w:rsidR="00E57E64" w:rsidRPr="00FF713B">
          <w:rPr>
            <w:rFonts w:ascii="Times New Roman" w:eastAsia="Times New Roman" w:hAnsi="Times New Roman" w:cs="Times New Roman"/>
          </w:rPr>
          <w:t xml:space="preserve"> </w:t>
        </w:r>
      </w:hyperlink>
      <w:hyperlink r:id="rId25">
        <w:r w:rsidR="00E57E64" w:rsidRPr="00FF713B">
          <w:rPr>
            <w:rFonts w:ascii="Times New Roman" w:eastAsia="Times New Roman" w:hAnsi="Times New Roman" w:cs="Times New Roman"/>
            <w:color w:val="1155CC"/>
            <w:u w:val="single"/>
          </w:rPr>
          <w:t>https://doi.org/10.1590/1678-987321297702</w:t>
        </w:r>
      </w:hyperlink>
    </w:p>
    <w:p w14:paraId="3C55AB2E"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JUNQUEIRA, Luciano Antônio Prates; INOJOSA, Rose Marie; KOMATSU, Suely. </w:t>
      </w:r>
      <w:r w:rsidRPr="00FF713B">
        <w:rPr>
          <w:rFonts w:ascii="Times New Roman" w:eastAsia="Times New Roman" w:hAnsi="Times New Roman" w:cs="Times New Roman"/>
          <w:b/>
          <w:bCs/>
        </w:rPr>
        <w:t>Descentralização e intersetorialidade na Gestão Pública Municipal no Brasil</w:t>
      </w:r>
      <w:r w:rsidRPr="00FF713B">
        <w:rPr>
          <w:rFonts w:ascii="Times New Roman" w:eastAsia="Times New Roman" w:hAnsi="Times New Roman" w:cs="Times New Roman"/>
        </w:rPr>
        <w:t>: a experiência de Fortaleza. EL TRÁNSITO de la cultura burocrática al modelo de la gerencia pública, Caracas: Unesco / Clad. 1997. p. 63-124.</w:t>
      </w:r>
    </w:p>
    <w:p w14:paraId="11A58BAD" w14:textId="77777777" w:rsidR="00E57E64" w:rsidRPr="00FF713B" w:rsidRDefault="00B8310D" w:rsidP="00FF713B">
      <w:pPr>
        <w:spacing w:before="40" w:after="40" w:line="240" w:lineRule="auto"/>
        <w:ind w:firstLine="0"/>
        <w:rPr>
          <w:rFonts w:ascii="Times New Roman" w:eastAsia="Times New Roman" w:hAnsi="Times New Roman" w:cs="Times New Roman"/>
          <w:color w:val="1155CC"/>
          <w:u w:val="single"/>
        </w:rPr>
      </w:pPr>
      <w:r w:rsidRPr="00FF713B">
        <w:rPr>
          <w:rFonts w:ascii="Times New Roman" w:eastAsia="Times New Roman" w:hAnsi="Times New Roman" w:cs="Times New Roman"/>
        </w:rPr>
        <w:t xml:space="preserve">JUNQUEIRA, Luciano Antônio Prates. A gestão intersetorial das políticas sociais e o terceiro setor. </w:t>
      </w:r>
      <w:r w:rsidRPr="00FF713B">
        <w:rPr>
          <w:rFonts w:ascii="Times New Roman" w:eastAsia="Times New Roman" w:hAnsi="Times New Roman" w:cs="Times New Roman"/>
          <w:b/>
          <w:bCs/>
        </w:rPr>
        <w:t>Saúde e Sociedade</w:t>
      </w:r>
      <w:r w:rsidRPr="00FF713B">
        <w:rPr>
          <w:rFonts w:ascii="Times New Roman" w:eastAsia="Times New Roman" w:hAnsi="Times New Roman" w:cs="Times New Roman"/>
        </w:rPr>
        <w:t>, v. 13, n. 1, p. 25-36, 2004. DOI:</w:t>
      </w:r>
      <w:hyperlink r:id="rId26">
        <w:r w:rsidR="00E57E64" w:rsidRPr="00FF713B">
          <w:rPr>
            <w:rFonts w:ascii="Times New Roman" w:eastAsia="Times New Roman" w:hAnsi="Times New Roman" w:cs="Times New Roman"/>
          </w:rPr>
          <w:t xml:space="preserve"> </w:t>
        </w:r>
      </w:hyperlink>
      <w:hyperlink r:id="rId27">
        <w:r w:rsidR="00E57E64" w:rsidRPr="00FF713B">
          <w:rPr>
            <w:rFonts w:ascii="Times New Roman" w:eastAsia="Times New Roman" w:hAnsi="Times New Roman" w:cs="Times New Roman"/>
            <w:color w:val="1155CC"/>
            <w:u w:val="single"/>
          </w:rPr>
          <w:t>https://doi.org/10.1590/S0104-12902004000100004</w:t>
        </w:r>
      </w:hyperlink>
    </w:p>
    <w:p w14:paraId="7C047E9D"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MANDEL, Ernest. </w:t>
      </w:r>
      <w:r w:rsidRPr="00FF713B">
        <w:rPr>
          <w:rFonts w:ascii="Times New Roman" w:eastAsia="Times New Roman" w:hAnsi="Times New Roman" w:cs="Times New Roman"/>
          <w:b/>
          <w:bCs/>
          <w:highlight w:val="white"/>
        </w:rPr>
        <w:t>O capitalismo tardio</w:t>
      </w:r>
      <w:r w:rsidRPr="00FF713B">
        <w:rPr>
          <w:rFonts w:ascii="Times New Roman" w:eastAsia="Times New Roman" w:hAnsi="Times New Roman" w:cs="Times New Roman"/>
          <w:highlight w:val="white"/>
        </w:rPr>
        <w:t>. São Paulo: Abril Cultural, 1982.</w:t>
      </w:r>
    </w:p>
    <w:p w14:paraId="14FABA08" w14:textId="77777777" w:rsidR="00E57E64" w:rsidRPr="00FF713B" w:rsidRDefault="00B8310D" w:rsidP="00FF713B">
      <w:pPr>
        <w:spacing w:before="40" w:after="40" w:line="240" w:lineRule="auto"/>
        <w:ind w:firstLine="0"/>
        <w:rPr>
          <w:rFonts w:ascii="Times New Roman" w:eastAsia="Times New Roman" w:hAnsi="Times New Roman" w:cs="Times New Roman"/>
          <w:color w:val="1155CC"/>
          <w:highlight w:val="white"/>
          <w:u w:val="single"/>
        </w:rPr>
      </w:pPr>
      <w:r w:rsidRPr="00FF713B">
        <w:rPr>
          <w:rFonts w:ascii="Times New Roman" w:eastAsia="Times New Roman" w:hAnsi="Times New Roman" w:cs="Times New Roman"/>
          <w:highlight w:val="white"/>
        </w:rPr>
        <w:t xml:space="preserve">MATIAS, Wagner Barbosa. A política esportiva do Governo Lula: o Programa Segundo Tempo. </w:t>
      </w:r>
      <w:r w:rsidRPr="00FF713B">
        <w:rPr>
          <w:rFonts w:ascii="Times New Roman" w:eastAsia="Times New Roman" w:hAnsi="Times New Roman" w:cs="Times New Roman"/>
          <w:b/>
          <w:bCs/>
          <w:highlight w:val="white"/>
        </w:rPr>
        <w:t>LICERE - Revista do Programa de Pós-graduação Interdisciplinar em Estudos do Lazer</w:t>
      </w:r>
      <w:r w:rsidRPr="00FF713B">
        <w:rPr>
          <w:rFonts w:ascii="Times New Roman" w:eastAsia="Times New Roman" w:hAnsi="Times New Roman" w:cs="Times New Roman"/>
          <w:highlight w:val="white"/>
        </w:rPr>
        <w:t>, v. 16, n. 1, 2013. DOI:</w:t>
      </w:r>
      <w:hyperlink r:id="rId28">
        <w:r w:rsidR="00E57E64" w:rsidRPr="00FF713B">
          <w:rPr>
            <w:rFonts w:ascii="Times New Roman" w:eastAsia="Times New Roman" w:hAnsi="Times New Roman" w:cs="Times New Roman"/>
            <w:highlight w:val="white"/>
          </w:rPr>
          <w:t xml:space="preserve"> </w:t>
        </w:r>
      </w:hyperlink>
      <w:hyperlink r:id="rId29">
        <w:r w:rsidR="00E57E64" w:rsidRPr="00FF713B">
          <w:rPr>
            <w:rFonts w:ascii="Times New Roman" w:eastAsia="Times New Roman" w:hAnsi="Times New Roman" w:cs="Times New Roman"/>
            <w:color w:val="1155CC"/>
            <w:highlight w:val="white"/>
            <w:u w:val="single"/>
          </w:rPr>
          <w:t>https://doi.org/10.35699/1981-3171.2013.686</w:t>
        </w:r>
      </w:hyperlink>
    </w:p>
    <w:p w14:paraId="5BD2DE3E"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MELO, Marcelo Paula de. O chamado terceiro setor entra em campo: políticas públicas de esporte no governo Lula e o aprofundamento do projeto neoliberal de terceira via. </w:t>
      </w:r>
      <w:r w:rsidRPr="00FF713B">
        <w:rPr>
          <w:rFonts w:ascii="Times New Roman" w:eastAsia="Times New Roman" w:hAnsi="Times New Roman" w:cs="Times New Roman"/>
          <w:b/>
          <w:bCs/>
          <w:highlight w:val="white"/>
        </w:rPr>
        <w:t>LICERE - Revista do Programa de Pós-graduação Interdisciplinar em Estudos do Lazer</w:t>
      </w:r>
      <w:r w:rsidRPr="00FF713B">
        <w:rPr>
          <w:rFonts w:ascii="Times New Roman" w:eastAsia="Times New Roman" w:hAnsi="Times New Roman" w:cs="Times New Roman"/>
          <w:highlight w:val="white"/>
        </w:rPr>
        <w:t xml:space="preserve">, v. 10, n. 2, 2007. </w:t>
      </w:r>
    </w:p>
    <w:p w14:paraId="270D7FC4"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MASCARENHAS, Fernando. O orçamento do esporte: aspectos da atuação estatal de FHC a Dilma. </w:t>
      </w:r>
      <w:r w:rsidRPr="00FF713B">
        <w:rPr>
          <w:rFonts w:ascii="Times New Roman" w:eastAsia="Times New Roman" w:hAnsi="Times New Roman" w:cs="Times New Roman"/>
          <w:b/>
          <w:bCs/>
          <w:highlight w:val="white"/>
        </w:rPr>
        <w:t>Revista Brasileira de Educação Física e Esporte</w:t>
      </w:r>
      <w:r w:rsidRPr="00FF713B">
        <w:rPr>
          <w:rFonts w:ascii="Times New Roman" w:eastAsia="Times New Roman" w:hAnsi="Times New Roman" w:cs="Times New Roman"/>
          <w:highlight w:val="white"/>
        </w:rPr>
        <w:t>, São Paulo, v. 30, n. 4, p. 963-980, out./dez. 2016. DOI:</w:t>
      </w:r>
      <w:hyperlink r:id="rId30">
        <w:r w:rsidR="00E57E64" w:rsidRPr="00FF713B">
          <w:rPr>
            <w:rFonts w:ascii="Times New Roman" w:eastAsia="Times New Roman" w:hAnsi="Times New Roman" w:cs="Times New Roman"/>
            <w:highlight w:val="white"/>
          </w:rPr>
          <w:t xml:space="preserve"> </w:t>
        </w:r>
      </w:hyperlink>
      <w:hyperlink r:id="rId31">
        <w:r w:rsidR="00E57E64" w:rsidRPr="00FF713B">
          <w:rPr>
            <w:rFonts w:ascii="Times New Roman" w:eastAsia="Times New Roman" w:hAnsi="Times New Roman" w:cs="Times New Roman"/>
            <w:color w:val="1155CC"/>
            <w:highlight w:val="white"/>
            <w:u w:val="single"/>
          </w:rPr>
          <w:t>https://doi.org/10.1590/1807-55092016000400963</w:t>
        </w:r>
      </w:hyperlink>
      <w:r w:rsidRPr="00FF713B">
        <w:rPr>
          <w:rFonts w:ascii="Times New Roman" w:eastAsia="Times New Roman" w:hAnsi="Times New Roman" w:cs="Times New Roman"/>
          <w:highlight w:val="white"/>
        </w:rPr>
        <w:t>.</w:t>
      </w:r>
    </w:p>
    <w:p w14:paraId="1B6B4F62"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MASCARO, Alysson Leandro. </w:t>
      </w:r>
      <w:r w:rsidRPr="00FF713B">
        <w:rPr>
          <w:rFonts w:ascii="Times New Roman" w:eastAsia="Times New Roman" w:hAnsi="Times New Roman" w:cs="Times New Roman"/>
          <w:b/>
          <w:bCs/>
          <w:highlight w:val="white"/>
        </w:rPr>
        <w:t>Estado e forma política</w:t>
      </w:r>
      <w:r w:rsidRPr="00FF713B">
        <w:rPr>
          <w:rFonts w:ascii="Times New Roman" w:eastAsia="Times New Roman" w:hAnsi="Times New Roman" w:cs="Times New Roman"/>
          <w:highlight w:val="white"/>
        </w:rPr>
        <w:t>. Boitempo Editorial, 2015.</w:t>
      </w:r>
    </w:p>
    <w:p w14:paraId="37FDBB48"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MEDEIROS, Marcelo. </w:t>
      </w:r>
      <w:r w:rsidRPr="00FF713B">
        <w:rPr>
          <w:rFonts w:ascii="Times New Roman" w:eastAsia="Times New Roman" w:hAnsi="Times New Roman" w:cs="Times New Roman"/>
          <w:b/>
          <w:bCs/>
          <w:highlight w:val="white"/>
        </w:rPr>
        <w:t>A trajetória do Welfare State no Brasil:</w:t>
      </w:r>
      <w:r w:rsidRPr="00FF713B">
        <w:rPr>
          <w:rFonts w:ascii="Times New Roman" w:eastAsia="Times New Roman" w:hAnsi="Times New Roman" w:cs="Times New Roman"/>
          <w:highlight w:val="white"/>
        </w:rPr>
        <w:t xml:space="preserve"> papel redistributivo das políticas sociais dos anos 1930 aos anos 1990. Brasília: IPEA, 2001. (Texto para discussão nº 852.)</w:t>
      </w:r>
    </w:p>
    <w:p w14:paraId="4153A88E"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MULLER, Pierre; SUREL, Yves. </w:t>
      </w:r>
      <w:r w:rsidRPr="00FF713B">
        <w:rPr>
          <w:rFonts w:ascii="Times New Roman" w:eastAsia="Times New Roman" w:hAnsi="Times New Roman" w:cs="Times New Roman"/>
          <w:b/>
          <w:bCs/>
          <w:highlight w:val="white"/>
        </w:rPr>
        <w:t>A análise das políticas públicas</w:t>
      </w:r>
      <w:r w:rsidRPr="00FF713B">
        <w:rPr>
          <w:rFonts w:ascii="Times New Roman" w:eastAsia="Times New Roman" w:hAnsi="Times New Roman" w:cs="Times New Roman"/>
          <w:highlight w:val="white"/>
        </w:rPr>
        <w:t xml:space="preserve">. Tradução: Agemir Bavaresco e Alceu R. Ferraro. Pelotas: Educat, 2002. </w:t>
      </w:r>
    </w:p>
    <w:p w14:paraId="6A0C6FB4" w14:textId="77777777"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NOGUEIRA, Marco Aurélio. </w:t>
      </w:r>
      <w:r w:rsidRPr="00FF713B">
        <w:rPr>
          <w:rFonts w:ascii="Times New Roman" w:eastAsia="Times New Roman" w:hAnsi="Times New Roman" w:cs="Times New Roman"/>
          <w:b/>
          <w:bCs/>
          <w:highlight w:val="white"/>
        </w:rPr>
        <w:t>A dimensão política da descentralização participativa</w:t>
      </w:r>
      <w:r w:rsidRPr="00FF713B">
        <w:rPr>
          <w:rFonts w:ascii="Times New Roman" w:eastAsia="Times New Roman" w:hAnsi="Times New Roman" w:cs="Times New Roman"/>
          <w:highlight w:val="white"/>
        </w:rPr>
        <w:t>. São Paulo em Perspectiva, São Paulo, v. 11, n. 3, p. 8-19, 1997.</w:t>
      </w:r>
    </w:p>
    <w:p w14:paraId="27025B2C"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SENADO FEDERAL. </w:t>
      </w:r>
      <w:r w:rsidRPr="00FF713B">
        <w:rPr>
          <w:rFonts w:ascii="Times New Roman" w:eastAsia="Times New Roman" w:hAnsi="Times New Roman" w:cs="Times New Roman"/>
          <w:b/>
          <w:bCs/>
        </w:rPr>
        <w:t>Comissão de Esporte (CEsp) avalia impactos do Programa Segundo Tempo</w:t>
      </w:r>
      <w:r w:rsidRPr="00FF713B">
        <w:rPr>
          <w:rFonts w:ascii="Times New Roman" w:eastAsia="Times New Roman" w:hAnsi="Times New Roman" w:cs="Times New Roman"/>
        </w:rPr>
        <w:t xml:space="preserve"> - 8 out. 2025. Disponível em: </w:t>
      </w:r>
      <w:hyperlink r:id="rId32">
        <w:r w:rsidR="00E57E64" w:rsidRPr="00FF713B">
          <w:rPr>
            <w:rFonts w:ascii="Times New Roman" w:eastAsia="Times New Roman" w:hAnsi="Times New Roman" w:cs="Times New Roman"/>
            <w:color w:val="1155CC"/>
            <w:u w:val="single"/>
          </w:rPr>
          <w:t>https://www.youtube.com/watch?v=JUGungvm_0U</w:t>
        </w:r>
      </w:hyperlink>
      <w:r w:rsidRPr="00FF713B">
        <w:rPr>
          <w:rFonts w:ascii="Times New Roman" w:eastAsia="Times New Roman" w:hAnsi="Times New Roman" w:cs="Times New Roman"/>
        </w:rPr>
        <w:t>. Acesso em: 23 abr. 2026.</w:t>
      </w:r>
    </w:p>
    <w:p w14:paraId="15D47E4B" w14:textId="77777777"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rPr>
        <w:t xml:space="preserve">SENADO FEDERAL. Comissão de Esporte. </w:t>
      </w:r>
      <w:r w:rsidRPr="00FF713B">
        <w:rPr>
          <w:rFonts w:ascii="Times New Roman" w:eastAsia="Times New Roman" w:hAnsi="Times New Roman" w:cs="Times New Roman"/>
          <w:b/>
          <w:bCs/>
        </w:rPr>
        <w:t>Parecer (SF) nº 2, de 2026, sobre o Requerimento nº 7, de 2025</w:t>
      </w:r>
      <w:r w:rsidRPr="00FF713B">
        <w:rPr>
          <w:rFonts w:ascii="Times New Roman" w:eastAsia="Times New Roman" w:hAnsi="Times New Roman" w:cs="Times New Roman"/>
        </w:rPr>
        <w:t xml:space="preserve">, que requer, nos termos do art. 96-B do Regimento Interno do Senado Federal, que a Comissão de Esporte avalie o Programa Segundo Tempo como política pública, no exercício de 2025. Relatora: Senadora Teresa Leitão. Presidente: Senadora Leila Barros. Brasília, DF, 4 mar. 2026. Disponível em: </w:t>
      </w:r>
      <w:hyperlink r:id="rId33">
        <w:r w:rsidR="00E57E64" w:rsidRPr="00FF713B">
          <w:rPr>
            <w:rFonts w:ascii="Times New Roman" w:eastAsia="Times New Roman" w:hAnsi="Times New Roman" w:cs="Times New Roman"/>
            <w:color w:val="1155CC"/>
            <w:u w:val="single"/>
          </w:rPr>
          <w:t>https://legis.senado.leg.br/sdleg-getter/documento?dm=10172819&amp;ts=1773782203482&amp;rendition_principal=S&amp;disposition=inline</w:t>
        </w:r>
      </w:hyperlink>
      <w:r w:rsidRPr="00FF713B">
        <w:rPr>
          <w:rFonts w:ascii="Times New Roman" w:eastAsia="Times New Roman" w:hAnsi="Times New Roman" w:cs="Times New Roman"/>
        </w:rPr>
        <w:t xml:space="preserve">. Acesso em: 20 abr. 2026. </w:t>
      </w:r>
    </w:p>
    <w:p w14:paraId="0ABBC1D3" w14:textId="69685ECD" w:rsidR="00E57E64" w:rsidRPr="00FF713B" w:rsidRDefault="00B8310D" w:rsidP="00FF713B">
      <w:pPr>
        <w:spacing w:before="40" w:after="40" w:line="240" w:lineRule="auto"/>
        <w:ind w:firstLine="0"/>
        <w:rPr>
          <w:rFonts w:ascii="Times New Roman" w:eastAsia="Times New Roman" w:hAnsi="Times New Roman" w:cs="Times New Roman"/>
        </w:rPr>
      </w:pPr>
      <w:r w:rsidRPr="00FF713B">
        <w:rPr>
          <w:rFonts w:ascii="Times New Roman" w:eastAsia="Times New Roman" w:hAnsi="Times New Roman" w:cs="Times New Roman"/>
          <w:highlight w:val="white"/>
        </w:rPr>
        <w:t xml:space="preserve">SILVA, </w:t>
      </w:r>
      <w:r w:rsidR="00723B06" w:rsidRPr="00FF713B">
        <w:rPr>
          <w:rFonts w:ascii="Times New Roman" w:eastAsia="Times New Roman" w:hAnsi="Times New Roman" w:cs="Times New Roman"/>
        </w:rPr>
        <w:t>Dirceu Santos</w:t>
      </w:r>
      <w:r w:rsidR="00723B06" w:rsidRPr="00FF713B">
        <w:rPr>
          <w:rFonts w:ascii="Times New Roman" w:eastAsia="Times New Roman" w:hAnsi="Times New Roman" w:cs="Times New Roman"/>
          <w:highlight w:val="white"/>
        </w:rPr>
        <w:t xml:space="preserve">; </w:t>
      </w:r>
      <w:r w:rsidRPr="00FF713B">
        <w:rPr>
          <w:rFonts w:ascii="Times New Roman" w:eastAsia="Times New Roman" w:hAnsi="Times New Roman" w:cs="Times New Roman"/>
          <w:highlight w:val="white"/>
        </w:rPr>
        <w:t>ANDRÉ, L</w:t>
      </w:r>
      <w:r w:rsidR="00723B06" w:rsidRPr="00FF713B">
        <w:rPr>
          <w:rFonts w:ascii="Times New Roman" w:eastAsia="Times New Roman" w:hAnsi="Times New Roman" w:cs="Times New Roman"/>
          <w:highlight w:val="white"/>
        </w:rPr>
        <w:t>uana Carla André</w:t>
      </w:r>
      <w:r w:rsidRPr="00FF713B">
        <w:rPr>
          <w:rFonts w:ascii="Times New Roman" w:eastAsia="Times New Roman" w:hAnsi="Times New Roman" w:cs="Times New Roman"/>
          <w:highlight w:val="white"/>
        </w:rPr>
        <w:t>; SALERNO, M</w:t>
      </w:r>
      <w:r w:rsidR="00723B06" w:rsidRPr="00FF713B">
        <w:rPr>
          <w:rFonts w:ascii="Times New Roman" w:eastAsia="Times New Roman" w:hAnsi="Times New Roman" w:cs="Times New Roman"/>
          <w:highlight w:val="white"/>
        </w:rPr>
        <w:t>arina Brasiliano</w:t>
      </w:r>
      <w:r w:rsidRPr="00FF713B">
        <w:rPr>
          <w:rFonts w:ascii="Times New Roman" w:eastAsia="Times New Roman" w:hAnsi="Times New Roman" w:cs="Times New Roman"/>
          <w:highlight w:val="white"/>
        </w:rPr>
        <w:t xml:space="preserve">. Professional teacher training in the PELC and PST social programs in Brazil: A systematic review. </w:t>
      </w:r>
      <w:r w:rsidRPr="00FF713B">
        <w:rPr>
          <w:rFonts w:ascii="Times New Roman" w:eastAsia="Times New Roman" w:hAnsi="Times New Roman" w:cs="Times New Roman"/>
          <w:b/>
          <w:bCs/>
          <w:highlight w:val="white"/>
        </w:rPr>
        <w:t>Education Policy Analysis Archives</w:t>
      </w:r>
      <w:r w:rsidRPr="00FF713B">
        <w:rPr>
          <w:rFonts w:ascii="Times New Roman" w:eastAsia="Times New Roman" w:hAnsi="Times New Roman" w:cs="Times New Roman"/>
          <w:highlight w:val="white"/>
        </w:rPr>
        <w:t xml:space="preserve">, v. 32, 2024. </w:t>
      </w:r>
      <w:r w:rsidRPr="00FF713B">
        <w:rPr>
          <w:rFonts w:ascii="Times New Roman" w:eastAsia="Times New Roman" w:hAnsi="Times New Roman" w:cs="Times New Roman"/>
        </w:rPr>
        <w:t xml:space="preserve">DOI: </w:t>
      </w:r>
      <w:hyperlink r:id="rId34">
        <w:r w:rsidR="00E57E64" w:rsidRPr="00FF713B">
          <w:rPr>
            <w:rFonts w:ascii="Times New Roman" w:eastAsia="Times New Roman" w:hAnsi="Times New Roman" w:cs="Times New Roman"/>
            <w:color w:val="1155CC"/>
            <w:highlight w:val="white"/>
            <w:u w:val="single"/>
          </w:rPr>
          <w:t>https://doi.org/10.14507/epaa.32.8090</w:t>
        </w:r>
      </w:hyperlink>
      <w:r w:rsidRPr="00FF713B">
        <w:rPr>
          <w:rFonts w:ascii="Times New Roman" w:eastAsia="Times New Roman" w:hAnsi="Times New Roman" w:cs="Times New Roman"/>
          <w:highlight w:val="white"/>
        </w:rPr>
        <w:t xml:space="preserve"> </w:t>
      </w:r>
    </w:p>
    <w:p w14:paraId="1B63F274" w14:textId="1AE97444" w:rsidR="00E57E64" w:rsidRPr="00FF713B" w:rsidRDefault="00B8310D" w:rsidP="00FF713B">
      <w:pPr>
        <w:spacing w:before="40" w:after="40" w:line="240" w:lineRule="auto"/>
        <w:ind w:firstLine="0"/>
        <w:rPr>
          <w:rFonts w:ascii="Times New Roman" w:eastAsia="Times New Roman" w:hAnsi="Times New Roman" w:cs="Times New Roman"/>
          <w:color w:val="1155CC"/>
          <w:u w:val="single"/>
        </w:rPr>
      </w:pPr>
      <w:r w:rsidRPr="00FF713B">
        <w:rPr>
          <w:rFonts w:ascii="Times New Roman" w:eastAsia="Times New Roman" w:hAnsi="Times New Roman" w:cs="Times New Roman"/>
        </w:rPr>
        <w:t>SILVA, D</w:t>
      </w:r>
      <w:r w:rsidR="00723B06" w:rsidRPr="00FF713B">
        <w:rPr>
          <w:rFonts w:ascii="Times New Roman" w:eastAsia="Times New Roman" w:hAnsi="Times New Roman" w:cs="Times New Roman"/>
        </w:rPr>
        <w:t>irceu Santos</w:t>
      </w:r>
      <w:r w:rsidRPr="00FF713B">
        <w:rPr>
          <w:rFonts w:ascii="Times New Roman" w:eastAsia="Times New Roman" w:hAnsi="Times New Roman" w:cs="Times New Roman"/>
        </w:rPr>
        <w:t>; RAMOS, J</w:t>
      </w:r>
      <w:r w:rsidR="00723B06" w:rsidRPr="00FF713B">
        <w:rPr>
          <w:rFonts w:ascii="Times New Roman" w:eastAsia="Times New Roman" w:hAnsi="Times New Roman" w:cs="Times New Roman"/>
        </w:rPr>
        <w:t>uliana Marta Antunes</w:t>
      </w:r>
      <w:r w:rsidRPr="00FF713B">
        <w:rPr>
          <w:rFonts w:ascii="Times New Roman" w:eastAsia="Times New Roman" w:hAnsi="Times New Roman" w:cs="Times New Roman"/>
        </w:rPr>
        <w:t>; TONETTI, V</w:t>
      </w:r>
      <w:r w:rsidR="00FF713B" w:rsidRPr="00FF713B">
        <w:rPr>
          <w:rFonts w:ascii="Times New Roman" w:eastAsia="Times New Roman" w:hAnsi="Times New Roman" w:cs="Times New Roman"/>
        </w:rPr>
        <w:t xml:space="preserve">inicius </w:t>
      </w:r>
      <w:r w:rsidRPr="00FF713B">
        <w:rPr>
          <w:rFonts w:ascii="Times New Roman" w:eastAsia="Times New Roman" w:hAnsi="Times New Roman" w:cs="Times New Roman"/>
        </w:rPr>
        <w:t>de A</w:t>
      </w:r>
      <w:r w:rsidR="00FF713B" w:rsidRPr="00FF713B">
        <w:rPr>
          <w:rFonts w:ascii="Times New Roman" w:eastAsia="Times New Roman" w:hAnsi="Times New Roman" w:cs="Times New Roman"/>
        </w:rPr>
        <w:t>lmeida</w:t>
      </w:r>
      <w:r w:rsidRPr="00FF713B">
        <w:rPr>
          <w:rFonts w:ascii="Times New Roman" w:eastAsia="Times New Roman" w:hAnsi="Times New Roman" w:cs="Times New Roman"/>
        </w:rPr>
        <w:t>; D’AURIA, B</w:t>
      </w:r>
      <w:r w:rsidR="00723B06" w:rsidRPr="00FF713B">
        <w:rPr>
          <w:rFonts w:ascii="Times New Roman" w:eastAsia="Times New Roman" w:hAnsi="Times New Roman" w:cs="Times New Roman"/>
        </w:rPr>
        <w:t>reno Brey.</w:t>
      </w:r>
      <w:r w:rsidRPr="00FF713B">
        <w:rPr>
          <w:rFonts w:ascii="Times New Roman" w:eastAsia="Times New Roman" w:hAnsi="Times New Roman" w:cs="Times New Roman"/>
        </w:rPr>
        <w:t xml:space="preserve"> Programa Segundo Tempo: uma revisão sistemática da principal política pública de esporte educacional no Brasil. </w:t>
      </w:r>
      <w:r w:rsidRPr="00FF713B">
        <w:rPr>
          <w:rFonts w:ascii="Times New Roman" w:eastAsia="Times New Roman" w:hAnsi="Times New Roman" w:cs="Times New Roman"/>
          <w:b/>
          <w:bCs/>
        </w:rPr>
        <w:t>Movimento</w:t>
      </w:r>
      <w:r w:rsidRPr="00FF713B">
        <w:rPr>
          <w:rFonts w:ascii="Times New Roman" w:eastAsia="Times New Roman" w:hAnsi="Times New Roman" w:cs="Times New Roman"/>
        </w:rPr>
        <w:t>, v. 29, p. e29011, 2023. DOI:</w:t>
      </w:r>
      <w:hyperlink r:id="rId35">
        <w:r w:rsidR="00E57E64" w:rsidRPr="00FF713B">
          <w:rPr>
            <w:rFonts w:ascii="Times New Roman" w:eastAsia="Times New Roman" w:hAnsi="Times New Roman" w:cs="Times New Roman"/>
          </w:rPr>
          <w:t xml:space="preserve"> </w:t>
        </w:r>
      </w:hyperlink>
      <w:hyperlink r:id="rId36">
        <w:r w:rsidR="00E57E64" w:rsidRPr="00FF713B">
          <w:rPr>
            <w:rFonts w:ascii="Times New Roman" w:eastAsia="Times New Roman" w:hAnsi="Times New Roman" w:cs="Times New Roman"/>
            <w:color w:val="1155CC"/>
            <w:u w:val="single"/>
          </w:rPr>
          <w:t>https://doi.org/10.22456/1982-8918.147344</w:t>
        </w:r>
      </w:hyperlink>
    </w:p>
    <w:p w14:paraId="44CEE805" w14:textId="0FAAA95B"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RAMOS, </w:t>
      </w:r>
      <w:r w:rsidR="00723B06" w:rsidRPr="00FF713B">
        <w:rPr>
          <w:rFonts w:ascii="Times New Roman" w:eastAsia="Times New Roman" w:hAnsi="Times New Roman" w:cs="Times New Roman"/>
        </w:rPr>
        <w:t>Juliana Marta Antunes</w:t>
      </w:r>
      <w:r w:rsidRPr="00FF713B">
        <w:rPr>
          <w:rFonts w:ascii="Times New Roman" w:eastAsia="Times New Roman" w:hAnsi="Times New Roman" w:cs="Times New Roman"/>
          <w:highlight w:val="white"/>
        </w:rPr>
        <w:t xml:space="preserve">; D’AURIA, </w:t>
      </w:r>
      <w:r w:rsidR="00723B06" w:rsidRPr="00FF713B">
        <w:rPr>
          <w:rFonts w:ascii="Times New Roman" w:eastAsia="Times New Roman" w:hAnsi="Times New Roman" w:cs="Times New Roman"/>
        </w:rPr>
        <w:t>Breno Brey</w:t>
      </w:r>
      <w:r w:rsidRPr="00FF713B">
        <w:rPr>
          <w:rFonts w:ascii="Times New Roman" w:eastAsia="Times New Roman" w:hAnsi="Times New Roman" w:cs="Times New Roman"/>
          <w:highlight w:val="white"/>
        </w:rPr>
        <w:t xml:space="preserve">; ANDRÉ, </w:t>
      </w:r>
      <w:r w:rsidR="00723B06" w:rsidRPr="00FF713B">
        <w:rPr>
          <w:rFonts w:ascii="Times New Roman" w:eastAsia="Times New Roman" w:hAnsi="Times New Roman" w:cs="Times New Roman"/>
          <w:highlight w:val="white"/>
        </w:rPr>
        <w:t>Luana Carla André</w:t>
      </w:r>
      <w:r w:rsidRPr="00FF713B">
        <w:rPr>
          <w:rFonts w:ascii="Times New Roman" w:eastAsia="Times New Roman" w:hAnsi="Times New Roman" w:cs="Times New Roman"/>
          <w:highlight w:val="white"/>
        </w:rPr>
        <w:t>; SILVESTRE, B</w:t>
      </w:r>
      <w:r w:rsidR="00FF713B" w:rsidRPr="00FF713B">
        <w:rPr>
          <w:rFonts w:ascii="Times New Roman" w:eastAsia="Times New Roman" w:hAnsi="Times New Roman" w:cs="Times New Roman"/>
          <w:highlight w:val="white"/>
        </w:rPr>
        <w:t>runo Modesto</w:t>
      </w:r>
      <w:r w:rsidRPr="00FF713B">
        <w:rPr>
          <w:rFonts w:ascii="Times New Roman" w:eastAsia="Times New Roman" w:hAnsi="Times New Roman" w:cs="Times New Roman"/>
          <w:highlight w:val="white"/>
        </w:rPr>
        <w:t xml:space="preserve">; SILVA, </w:t>
      </w:r>
      <w:r w:rsidR="00723B06" w:rsidRPr="00FF713B">
        <w:rPr>
          <w:rFonts w:ascii="Times New Roman" w:eastAsia="Times New Roman" w:hAnsi="Times New Roman" w:cs="Times New Roman"/>
        </w:rPr>
        <w:t>Dirceu Santos</w:t>
      </w:r>
      <w:r w:rsidRPr="00FF713B">
        <w:rPr>
          <w:rFonts w:ascii="Times New Roman" w:eastAsia="Times New Roman" w:hAnsi="Times New Roman" w:cs="Times New Roman"/>
          <w:highlight w:val="white"/>
        </w:rPr>
        <w:t xml:space="preserve">. Public sports policies in interface with education: Planning educational sports in Brazil between 2003 and 2024. </w:t>
      </w:r>
      <w:r w:rsidRPr="00FF713B">
        <w:rPr>
          <w:rFonts w:ascii="Times New Roman" w:eastAsia="Times New Roman" w:hAnsi="Times New Roman" w:cs="Times New Roman"/>
          <w:b/>
          <w:bCs/>
          <w:highlight w:val="white"/>
        </w:rPr>
        <w:t>Education Policy Analysis Archives</w:t>
      </w:r>
      <w:r w:rsidRPr="00FF713B">
        <w:rPr>
          <w:rFonts w:ascii="Times New Roman" w:eastAsia="Times New Roman" w:hAnsi="Times New Roman" w:cs="Times New Roman"/>
          <w:highlight w:val="white"/>
        </w:rPr>
        <w:t xml:space="preserve">, v. 33, 2025. DOI: </w:t>
      </w:r>
      <w:r w:rsidRPr="00FF713B">
        <w:rPr>
          <w:rFonts w:ascii="Times New Roman" w:eastAsia="Times New Roman" w:hAnsi="Times New Roman" w:cs="Times New Roman"/>
          <w:b/>
          <w:bCs/>
          <w:highlight w:val="white"/>
        </w:rPr>
        <w:t xml:space="preserve"> </w:t>
      </w:r>
      <w:hyperlink r:id="rId37">
        <w:r w:rsidR="00E57E64" w:rsidRPr="00FF713B">
          <w:rPr>
            <w:rFonts w:ascii="Times New Roman" w:eastAsia="Times New Roman" w:hAnsi="Times New Roman" w:cs="Times New Roman"/>
            <w:color w:val="1155CC"/>
            <w:highlight w:val="white"/>
            <w:u w:val="single"/>
          </w:rPr>
          <w:t>https://doi.org/10.14507/epaa.33.9113</w:t>
        </w:r>
      </w:hyperlink>
      <w:r w:rsidRPr="00FF713B">
        <w:rPr>
          <w:rFonts w:ascii="Times New Roman" w:eastAsia="Times New Roman" w:hAnsi="Times New Roman" w:cs="Times New Roman"/>
          <w:highlight w:val="white"/>
        </w:rPr>
        <w:t xml:space="preserve">   </w:t>
      </w:r>
    </w:p>
    <w:p w14:paraId="5321405C" w14:textId="3368EAB4" w:rsidR="00E57E64" w:rsidRPr="00FF713B" w:rsidRDefault="00B8310D" w:rsidP="00FF713B">
      <w:pPr>
        <w:spacing w:before="40" w:after="40" w:line="240" w:lineRule="auto"/>
        <w:ind w:firstLine="0"/>
        <w:rPr>
          <w:rFonts w:ascii="Times New Roman" w:eastAsia="Times New Roman" w:hAnsi="Times New Roman" w:cs="Times New Roman"/>
          <w:color w:val="111111"/>
          <w:highlight w:val="white"/>
        </w:rPr>
      </w:pPr>
      <w:r w:rsidRPr="00FF713B">
        <w:rPr>
          <w:rFonts w:ascii="Times New Roman" w:eastAsia="Times New Roman" w:hAnsi="Times New Roman" w:cs="Times New Roman"/>
        </w:rPr>
        <w:t xml:space="preserve">RAMOS, </w:t>
      </w:r>
      <w:r w:rsidR="00723B06" w:rsidRPr="00FF713B">
        <w:rPr>
          <w:rFonts w:ascii="Times New Roman" w:eastAsia="Times New Roman" w:hAnsi="Times New Roman" w:cs="Times New Roman"/>
        </w:rPr>
        <w:t>Juliana Marta Antunes</w:t>
      </w:r>
      <w:r w:rsidRPr="00FF713B">
        <w:rPr>
          <w:rFonts w:ascii="Times New Roman" w:eastAsia="Times New Roman" w:hAnsi="Times New Roman" w:cs="Times New Roman"/>
          <w:color w:val="111111"/>
          <w:highlight w:val="white"/>
        </w:rPr>
        <w:t>; DUARTE, S</w:t>
      </w:r>
      <w:r w:rsidR="00FF713B" w:rsidRPr="00FF713B">
        <w:rPr>
          <w:rFonts w:ascii="Times New Roman" w:eastAsia="Times New Roman" w:hAnsi="Times New Roman" w:cs="Times New Roman"/>
          <w:color w:val="111111"/>
          <w:highlight w:val="white"/>
        </w:rPr>
        <w:t>amira Lopes</w:t>
      </w:r>
      <w:r w:rsidRPr="00FF713B">
        <w:rPr>
          <w:rFonts w:ascii="Times New Roman" w:eastAsia="Times New Roman" w:hAnsi="Times New Roman" w:cs="Times New Roman"/>
          <w:color w:val="111111"/>
          <w:highlight w:val="white"/>
        </w:rPr>
        <w:t>; CARNEIRO, F</w:t>
      </w:r>
      <w:r w:rsidR="00723B06" w:rsidRPr="00FF713B">
        <w:rPr>
          <w:rFonts w:ascii="Times New Roman" w:eastAsia="Times New Roman" w:hAnsi="Times New Roman" w:cs="Times New Roman"/>
          <w:color w:val="111111"/>
          <w:highlight w:val="white"/>
        </w:rPr>
        <w:t>ernando Henrique Silva</w:t>
      </w:r>
      <w:r w:rsidRPr="00FF713B">
        <w:rPr>
          <w:rFonts w:ascii="Times New Roman" w:eastAsia="Times New Roman" w:hAnsi="Times New Roman" w:cs="Times New Roman"/>
          <w:color w:val="111111"/>
          <w:highlight w:val="white"/>
        </w:rPr>
        <w:t xml:space="preserve">; </w:t>
      </w:r>
      <w:r w:rsidRPr="00FF713B">
        <w:rPr>
          <w:rFonts w:ascii="Times New Roman" w:eastAsia="Times New Roman" w:hAnsi="Times New Roman" w:cs="Times New Roman"/>
        </w:rPr>
        <w:t xml:space="preserve">SILVA, </w:t>
      </w:r>
      <w:r w:rsidR="00723B06" w:rsidRPr="00FF713B">
        <w:rPr>
          <w:rFonts w:ascii="Times New Roman" w:eastAsia="Times New Roman" w:hAnsi="Times New Roman" w:cs="Times New Roman"/>
        </w:rPr>
        <w:t>Dirceu Santos</w:t>
      </w:r>
      <w:r w:rsidRPr="00FF713B">
        <w:rPr>
          <w:rFonts w:ascii="Times New Roman" w:eastAsia="Times New Roman" w:hAnsi="Times New Roman" w:cs="Times New Roman"/>
          <w:color w:val="111111"/>
          <w:highlight w:val="white"/>
        </w:rPr>
        <w:t xml:space="preserve">. Políticas Públicas de esporte educacional: a gestão do Programa Segundo Tempo no Brasil de 2003 a 2024. </w:t>
      </w:r>
      <w:r w:rsidRPr="00FF713B">
        <w:rPr>
          <w:rFonts w:ascii="Times New Roman" w:eastAsia="Times New Roman" w:hAnsi="Times New Roman" w:cs="Times New Roman"/>
          <w:b/>
          <w:bCs/>
          <w:color w:val="111111"/>
          <w:highlight w:val="white"/>
        </w:rPr>
        <w:t>Movimento</w:t>
      </w:r>
      <w:r w:rsidRPr="00FF713B">
        <w:rPr>
          <w:rFonts w:ascii="Times New Roman" w:eastAsia="Times New Roman" w:hAnsi="Times New Roman" w:cs="Times New Roman"/>
          <w:color w:val="111111"/>
          <w:highlight w:val="white"/>
        </w:rPr>
        <w:t xml:space="preserve">, v. 32, p. e32005, 2026. DOI: </w:t>
      </w:r>
      <w:hyperlink r:id="rId38">
        <w:r w:rsidR="00E57E64" w:rsidRPr="00FF713B">
          <w:rPr>
            <w:rFonts w:ascii="Times New Roman" w:eastAsia="Times New Roman" w:hAnsi="Times New Roman" w:cs="Times New Roman"/>
            <w:color w:val="1155CC"/>
            <w:highlight w:val="white"/>
            <w:u w:val="single"/>
          </w:rPr>
          <w:t>https://doi.org/10.22456/1982-8918.147344</w:t>
        </w:r>
      </w:hyperlink>
    </w:p>
    <w:p w14:paraId="787C9C94" w14:textId="6107148D"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SALVADOR, Evilásio. </w:t>
      </w:r>
      <w:r w:rsidRPr="00FF713B">
        <w:rPr>
          <w:rFonts w:ascii="Times New Roman" w:eastAsia="Times New Roman" w:hAnsi="Times New Roman" w:cs="Times New Roman"/>
          <w:b/>
          <w:bCs/>
          <w:highlight w:val="white"/>
        </w:rPr>
        <w:t>Fundo público e seguridade social no Brasil</w:t>
      </w:r>
      <w:r w:rsidRPr="00FF713B">
        <w:rPr>
          <w:rFonts w:ascii="Times New Roman" w:eastAsia="Times New Roman" w:hAnsi="Times New Roman" w:cs="Times New Roman"/>
          <w:highlight w:val="white"/>
        </w:rPr>
        <w:t>. São Paulo: Cortez, 2010.</w:t>
      </w:r>
    </w:p>
    <w:p w14:paraId="2C4DD4FB" w14:textId="77777777" w:rsidR="00E57E64" w:rsidRPr="00FF713B" w:rsidRDefault="00B8310D" w:rsidP="00FF713B">
      <w:pPr>
        <w:spacing w:before="40" w:after="40" w:line="240" w:lineRule="auto"/>
        <w:ind w:firstLine="0"/>
        <w:rPr>
          <w:rFonts w:ascii="Times New Roman" w:eastAsia="Times New Roman" w:hAnsi="Times New Roman" w:cs="Times New Roman"/>
          <w:color w:val="1155CC"/>
          <w:highlight w:val="white"/>
          <w:u w:val="single"/>
        </w:rPr>
      </w:pPr>
      <w:r w:rsidRPr="00FF713B">
        <w:rPr>
          <w:rFonts w:ascii="Times New Roman" w:eastAsia="Times New Roman" w:hAnsi="Times New Roman" w:cs="Times New Roman"/>
          <w:highlight w:val="white"/>
        </w:rPr>
        <w:t xml:space="preserve">SANTOS, Edmilson Santos dos. Descentralização do Programa Segundo Tempo e Níveis de Desenvolvimento Humano (IDH). </w:t>
      </w:r>
      <w:r w:rsidRPr="00FF713B">
        <w:rPr>
          <w:rFonts w:ascii="Times New Roman" w:eastAsia="Times New Roman" w:hAnsi="Times New Roman" w:cs="Times New Roman"/>
          <w:b/>
          <w:bCs/>
          <w:highlight w:val="white"/>
        </w:rPr>
        <w:t>LICERE - Revista do Programa de Pós-graduação Interdisciplinar em Estudos do Lazer</w:t>
      </w:r>
      <w:r w:rsidRPr="00FF713B">
        <w:rPr>
          <w:rFonts w:ascii="Times New Roman" w:eastAsia="Times New Roman" w:hAnsi="Times New Roman" w:cs="Times New Roman"/>
          <w:highlight w:val="white"/>
        </w:rPr>
        <w:t>, v. 22, n. 3, p. 207-224, 2019. DOI:</w:t>
      </w:r>
      <w:hyperlink r:id="rId39">
        <w:r w:rsidR="00E57E64" w:rsidRPr="00FF713B">
          <w:rPr>
            <w:rFonts w:ascii="Times New Roman" w:eastAsia="Times New Roman" w:hAnsi="Times New Roman" w:cs="Times New Roman"/>
            <w:highlight w:val="white"/>
          </w:rPr>
          <w:t xml:space="preserve"> </w:t>
        </w:r>
      </w:hyperlink>
      <w:hyperlink r:id="rId40">
        <w:r w:rsidR="00E57E64" w:rsidRPr="00FF713B">
          <w:rPr>
            <w:rFonts w:ascii="Times New Roman" w:eastAsia="Times New Roman" w:hAnsi="Times New Roman" w:cs="Times New Roman"/>
            <w:color w:val="1155CC"/>
            <w:highlight w:val="white"/>
            <w:u w:val="single"/>
          </w:rPr>
          <w:t>https://doi.org/10.35699/1981-3171.2019.15310</w:t>
        </w:r>
      </w:hyperlink>
    </w:p>
    <w:p w14:paraId="626AA0D8" w14:textId="77777777" w:rsidR="00E57E64" w:rsidRPr="00FF713B" w:rsidRDefault="00B8310D" w:rsidP="00FF713B">
      <w:pPr>
        <w:spacing w:before="40" w:after="40" w:line="240" w:lineRule="auto"/>
        <w:ind w:firstLine="0"/>
        <w:rPr>
          <w:rFonts w:ascii="Times New Roman" w:eastAsia="Times New Roman" w:hAnsi="Times New Roman" w:cs="Times New Roman"/>
          <w:color w:val="1155CC"/>
          <w:highlight w:val="white"/>
          <w:u w:val="single"/>
        </w:rPr>
      </w:pPr>
      <w:r w:rsidRPr="00FF713B">
        <w:rPr>
          <w:rFonts w:ascii="Times New Roman" w:eastAsia="Times New Roman" w:hAnsi="Times New Roman" w:cs="Times New Roman"/>
          <w:highlight w:val="white"/>
        </w:rPr>
        <w:t xml:space="preserve">SANTOS, Edmilson Santos dos; ANDRADE, Jean Carlo; SANTOS, Roberto Silva. Programa Segundo Tempo e o papel das prefeituras na sua difusão. </w:t>
      </w:r>
      <w:r w:rsidRPr="00FF713B">
        <w:rPr>
          <w:rFonts w:ascii="Times New Roman" w:eastAsia="Times New Roman" w:hAnsi="Times New Roman" w:cs="Times New Roman"/>
          <w:b/>
          <w:bCs/>
          <w:highlight w:val="white"/>
        </w:rPr>
        <w:t>Pensar a Prática</w:t>
      </w:r>
      <w:r w:rsidRPr="00FF713B">
        <w:rPr>
          <w:rFonts w:ascii="Times New Roman" w:eastAsia="Times New Roman" w:hAnsi="Times New Roman" w:cs="Times New Roman"/>
          <w:highlight w:val="white"/>
        </w:rPr>
        <w:t>, v. 17, n. 4, p. 1-12, 2014. DOI:</w:t>
      </w:r>
      <w:hyperlink r:id="rId41">
        <w:r w:rsidR="00E57E64" w:rsidRPr="00FF713B">
          <w:rPr>
            <w:rFonts w:ascii="Times New Roman" w:eastAsia="Times New Roman" w:hAnsi="Times New Roman" w:cs="Times New Roman"/>
            <w:highlight w:val="white"/>
          </w:rPr>
          <w:t xml:space="preserve"> </w:t>
        </w:r>
      </w:hyperlink>
      <w:hyperlink r:id="rId42">
        <w:r w:rsidR="00E57E64" w:rsidRPr="00FF713B">
          <w:rPr>
            <w:rFonts w:ascii="Times New Roman" w:eastAsia="Times New Roman" w:hAnsi="Times New Roman" w:cs="Times New Roman"/>
            <w:color w:val="1155CC"/>
            <w:highlight w:val="white"/>
            <w:u w:val="single"/>
          </w:rPr>
          <w:t>https://doi.org/10.5216/rpp.v17i4.29020</w:t>
        </w:r>
      </w:hyperlink>
    </w:p>
    <w:p w14:paraId="0D640C7C" w14:textId="55A7AD25" w:rsidR="00FF713B" w:rsidRPr="00FF713B" w:rsidRDefault="00B8310D" w:rsidP="00FF713B">
      <w:pPr>
        <w:spacing w:before="40" w:after="40" w:line="240" w:lineRule="auto"/>
        <w:ind w:firstLine="0"/>
        <w:rPr>
          <w:rFonts w:ascii="Times New Roman" w:hAnsi="Times New Roman" w:cs="Times New Roman"/>
        </w:rPr>
      </w:pPr>
      <w:r w:rsidRPr="00FF713B">
        <w:rPr>
          <w:rFonts w:ascii="Times New Roman" w:eastAsia="Times New Roman" w:hAnsi="Times New Roman" w:cs="Times New Roman"/>
          <w:highlight w:val="white"/>
        </w:rPr>
        <w:t>SEVEGNANI, Palmir</w:t>
      </w:r>
      <w:r w:rsidR="00FF713B" w:rsidRPr="00FF713B">
        <w:rPr>
          <w:rFonts w:ascii="Times New Roman" w:eastAsia="Times New Roman" w:hAnsi="Times New Roman" w:cs="Times New Roman"/>
          <w:highlight w:val="white"/>
        </w:rPr>
        <w:t>a; Silva, Marcelo Moraes e; Figuerôa, Katiuscia Melo; Mezzadri, Fernando Marinho</w:t>
      </w:r>
      <w:r w:rsidRPr="00FF713B">
        <w:rPr>
          <w:rFonts w:ascii="Times New Roman" w:eastAsia="Times New Roman" w:hAnsi="Times New Roman" w:cs="Times New Roman"/>
          <w:i/>
          <w:iCs/>
          <w:highlight w:val="white"/>
        </w:rPr>
        <w:t>.</w:t>
      </w:r>
      <w:r w:rsidRPr="00FF713B">
        <w:rPr>
          <w:rFonts w:ascii="Times New Roman" w:eastAsia="Times New Roman" w:hAnsi="Times New Roman" w:cs="Times New Roman"/>
          <w:highlight w:val="white"/>
        </w:rPr>
        <w:t xml:space="preserve"> A política pública para o esporte educacional no Brasil (2003-2016): entre a setorialidade e a intersetorialidade. </w:t>
      </w:r>
      <w:r w:rsidRPr="00FF713B">
        <w:rPr>
          <w:rFonts w:ascii="Times New Roman" w:eastAsia="Times New Roman" w:hAnsi="Times New Roman" w:cs="Times New Roman"/>
          <w:b/>
          <w:bCs/>
          <w:highlight w:val="white"/>
        </w:rPr>
        <w:t>LICERE - Revista do Programa de Pós-graduação Interdisciplinar em Estudos do Lazer</w:t>
      </w:r>
      <w:r w:rsidRPr="00FF713B">
        <w:rPr>
          <w:rFonts w:ascii="Times New Roman" w:eastAsia="Times New Roman" w:hAnsi="Times New Roman" w:cs="Times New Roman"/>
          <w:highlight w:val="white"/>
        </w:rPr>
        <w:t>, v. 22, n. 2, p. 429-451, 2019. DOI:</w:t>
      </w:r>
      <w:hyperlink r:id="rId43">
        <w:r w:rsidR="00E57E64" w:rsidRPr="00FF713B">
          <w:rPr>
            <w:rFonts w:ascii="Times New Roman" w:eastAsia="Times New Roman" w:hAnsi="Times New Roman" w:cs="Times New Roman"/>
            <w:highlight w:val="white"/>
          </w:rPr>
          <w:t xml:space="preserve"> </w:t>
        </w:r>
      </w:hyperlink>
      <w:hyperlink r:id="rId44">
        <w:r w:rsidR="00E57E64" w:rsidRPr="00FF713B">
          <w:rPr>
            <w:rFonts w:ascii="Times New Roman" w:eastAsia="Times New Roman" w:hAnsi="Times New Roman" w:cs="Times New Roman"/>
            <w:color w:val="1155CC"/>
            <w:highlight w:val="white"/>
            <w:u w:val="single"/>
          </w:rPr>
          <w:t>https://doi.org/10.35699/1981-3171.2019.13574</w:t>
        </w:r>
      </w:hyperlink>
    </w:p>
    <w:p w14:paraId="621FB95D" w14:textId="417B33CD" w:rsidR="00E57E64"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SIGNORELLI MIGUEL, Rebeca. </w:t>
      </w:r>
      <w:r w:rsidRPr="00FF713B">
        <w:rPr>
          <w:rFonts w:ascii="Times New Roman" w:eastAsia="Times New Roman" w:hAnsi="Times New Roman" w:cs="Times New Roman"/>
          <w:b/>
          <w:bCs/>
          <w:highlight w:val="white"/>
        </w:rPr>
        <w:t>Esporte e escola no início do século XXI no Brasil</w:t>
      </w:r>
      <w:r w:rsidRPr="00FF713B">
        <w:rPr>
          <w:rFonts w:ascii="Times New Roman" w:eastAsia="Times New Roman" w:hAnsi="Times New Roman" w:cs="Times New Roman"/>
          <w:highlight w:val="white"/>
        </w:rPr>
        <w:t xml:space="preserve">: relações a partir das políticas públicas. 2022. 1 recurso online (260 p.) Tese (doutorado) - Universidade Estadual de Campinas, Faculdade de Educação, Campinas, SP. Disponível em: </w:t>
      </w:r>
      <w:hyperlink r:id="rId45">
        <w:r w:rsidR="00E57E64" w:rsidRPr="00FF713B">
          <w:rPr>
            <w:rFonts w:ascii="Times New Roman" w:eastAsia="Times New Roman" w:hAnsi="Times New Roman" w:cs="Times New Roman"/>
            <w:color w:val="1155CC"/>
            <w:highlight w:val="white"/>
            <w:u w:val="single"/>
          </w:rPr>
          <w:t>https://hdl.handle.net/20.500.12733/9032</w:t>
        </w:r>
      </w:hyperlink>
      <w:r w:rsidRPr="00FF713B">
        <w:rPr>
          <w:rFonts w:ascii="Times New Roman" w:eastAsia="Times New Roman" w:hAnsi="Times New Roman" w:cs="Times New Roman"/>
          <w:highlight w:val="white"/>
        </w:rPr>
        <w:t xml:space="preserve">. Acesso em: 23 abr. 2026. </w:t>
      </w:r>
    </w:p>
    <w:p w14:paraId="12C3C082" w14:textId="3C34F681" w:rsidR="00B273A1" w:rsidRPr="00822650" w:rsidRDefault="00B273A1" w:rsidP="00FF713B">
      <w:pPr>
        <w:spacing w:before="40" w:after="40" w:line="240" w:lineRule="auto"/>
        <w:ind w:firstLine="0"/>
        <w:rPr>
          <w:rFonts w:ascii="Times New Roman" w:eastAsia="Times New Roman" w:hAnsi="Times New Roman" w:cs="Times New Roman"/>
          <w:highlight w:val="white"/>
        </w:rPr>
      </w:pPr>
      <w:r w:rsidRPr="00822650">
        <w:rPr>
          <w:rFonts w:ascii="Times New Roman" w:eastAsia="Times New Roman" w:hAnsi="Times New Roman" w:cs="Times New Roman"/>
          <w:highlight w:val="white"/>
        </w:rPr>
        <w:t xml:space="preserve">TESOURO </w:t>
      </w:r>
      <w:r w:rsidR="00822650">
        <w:rPr>
          <w:rFonts w:ascii="Times New Roman" w:eastAsia="Times New Roman" w:hAnsi="Times New Roman" w:cs="Times New Roman"/>
          <w:highlight w:val="white"/>
        </w:rPr>
        <w:t>NACIONAL</w:t>
      </w:r>
      <w:r w:rsidRPr="00822650">
        <w:rPr>
          <w:rFonts w:ascii="Times New Roman" w:eastAsia="Times New Roman" w:hAnsi="Times New Roman" w:cs="Times New Roman"/>
          <w:highlight w:val="white"/>
        </w:rPr>
        <w:t xml:space="preserve">. </w:t>
      </w:r>
      <w:r w:rsidRPr="00822650">
        <w:rPr>
          <w:rFonts w:ascii="Times New Roman" w:eastAsia="Times New Roman" w:hAnsi="Times New Roman" w:cs="Times New Roman"/>
        </w:rPr>
        <w:t xml:space="preserve">CAUC Sistema de Informações sobre Requisitos Fiscais. Disponível em: </w:t>
      </w:r>
      <w:hyperlink r:id="rId46" w:anchor="/extrato/main" w:history="1">
        <w:r w:rsidRPr="00822650">
          <w:rPr>
            <w:rStyle w:val="Hyperlink"/>
            <w:rFonts w:ascii="Times New Roman" w:eastAsia="Times New Roman" w:hAnsi="Times New Roman" w:cs="Times New Roman"/>
            <w:color w:val="auto"/>
          </w:rPr>
          <w:t>CAUC - Secretaria do Tesouro Nacional (STN) https://cauc.tesouro.gov.br/ng/#/extrato/main</w:t>
        </w:r>
      </w:hyperlink>
      <w:r w:rsidRPr="00822650">
        <w:rPr>
          <w:rFonts w:ascii="Times New Roman" w:eastAsia="Times New Roman" w:hAnsi="Times New Roman" w:cs="Times New Roman"/>
        </w:rPr>
        <w:t xml:space="preserve"> Acesso em: 27 de jun. 2026.</w:t>
      </w:r>
    </w:p>
    <w:p w14:paraId="0B3AC5EA" w14:textId="17CB2C7C" w:rsidR="00E57E64" w:rsidRPr="00FF713B" w:rsidRDefault="00B8310D" w:rsidP="00FF713B">
      <w:pPr>
        <w:spacing w:before="40" w:after="40" w:line="240" w:lineRule="auto"/>
        <w:ind w:firstLine="0"/>
        <w:rPr>
          <w:rFonts w:ascii="Times New Roman" w:eastAsia="Times New Roman" w:hAnsi="Times New Roman" w:cs="Times New Roman"/>
          <w:highlight w:val="white"/>
        </w:rPr>
      </w:pPr>
      <w:r w:rsidRPr="00FF713B">
        <w:rPr>
          <w:rFonts w:ascii="Times New Roman" w:eastAsia="Times New Roman" w:hAnsi="Times New Roman" w:cs="Times New Roman"/>
          <w:highlight w:val="white"/>
        </w:rPr>
        <w:t xml:space="preserve">TRIBUNAL DE CONTAS DA UNIÃO. Relatório de Auditoria Operacional Desporto Educacional. TC 022.649/2018-2, 2018. Disponível em: </w:t>
      </w:r>
      <w:hyperlink r:id="rId47">
        <w:r w:rsidR="00E57E64" w:rsidRPr="00FF713B">
          <w:rPr>
            <w:rFonts w:ascii="Times New Roman" w:eastAsia="Times New Roman" w:hAnsi="Times New Roman" w:cs="Times New Roman"/>
            <w:color w:val="1155CC"/>
            <w:highlight w:val="white"/>
            <w:u w:val="single"/>
          </w:rPr>
          <w:t>tcu.jusbrasil.com.br/jurisprudencia/750997970/relatorio-de-auditoria-ra-ra-2264920182</w:t>
        </w:r>
      </w:hyperlink>
      <w:r w:rsidR="00FF713B">
        <w:rPr>
          <w:rFonts w:ascii="Times New Roman" w:eastAsia="Times New Roman" w:hAnsi="Times New Roman" w:cs="Times New Roman"/>
          <w:highlight w:val="white"/>
        </w:rPr>
        <w:t xml:space="preserve">. </w:t>
      </w:r>
      <w:r w:rsidRPr="00FF713B">
        <w:rPr>
          <w:rFonts w:ascii="Times New Roman" w:eastAsia="Times New Roman" w:hAnsi="Times New Roman" w:cs="Times New Roman"/>
          <w:highlight w:val="white"/>
        </w:rPr>
        <w:t>Acesso em:20 de abr. 2026.</w:t>
      </w:r>
    </w:p>
    <w:p w14:paraId="4094D9D3" w14:textId="0E1C0902" w:rsidR="00E57E64" w:rsidRPr="00FF713B" w:rsidRDefault="00B8310D" w:rsidP="00FF713B">
      <w:pPr>
        <w:spacing w:before="40" w:after="40" w:line="240" w:lineRule="auto"/>
        <w:ind w:firstLine="0"/>
        <w:rPr>
          <w:rFonts w:ascii="Times New Roman" w:eastAsia="Times New Roman" w:hAnsi="Times New Roman" w:cs="Times New Roman"/>
          <w:color w:val="FF0000"/>
        </w:rPr>
      </w:pPr>
      <w:r w:rsidRPr="00FF713B">
        <w:rPr>
          <w:rFonts w:ascii="Times New Roman" w:eastAsia="Times New Roman" w:hAnsi="Times New Roman" w:cs="Times New Roman"/>
        </w:rPr>
        <w:t xml:space="preserve">WANDERLEY, Mariangela Belfiore; MARTINELLI, Maria Lúcia; PAZ, Rosangela Dias O.  Intersetorialidade nas Políticas Públicas. </w:t>
      </w:r>
      <w:r w:rsidRPr="00FF713B">
        <w:rPr>
          <w:rFonts w:ascii="Times New Roman" w:eastAsia="Times New Roman" w:hAnsi="Times New Roman" w:cs="Times New Roman"/>
          <w:b/>
          <w:bCs/>
        </w:rPr>
        <w:t>Serviço Social &amp; Sociedade,</w:t>
      </w:r>
      <w:r w:rsidRPr="00FF713B">
        <w:rPr>
          <w:rFonts w:ascii="Times New Roman" w:eastAsia="Times New Roman" w:hAnsi="Times New Roman" w:cs="Times New Roman"/>
        </w:rPr>
        <w:t xml:space="preserve"> n. 137,2020, p. 7-13. DOI</w:t>
      </w:r>
      <w:r w:rsidR="004429D1">
        <w:rPr>
          <w:rFonts w:ascii="Times New Roman" w:eastAsia="Times New Roman" w:hAnsi="Times New Roman" w:cs="Times New Roman"/>
        </w:rPr>
        <w:t>:</w:t>
      </w:r>
      <w:hyperlink r:id="rId48">
        <w:r w:rsidR="00E57E64" w:rsidRPr="00FF713B">
          <w:rPr>
            <w:rFonts w:ascii="Times New Roman" w:eastAsia="Times New Roman" w:hAnsi="Times New Roman" w:cs="Times New Roman"/>
            <w:color w:val="FF0000"/>
          </w:rPr>
          <w:t xml:space="preserve"> </w:t>
        </w:r>
      </w:hyperlink>
      <w:hyperlink r:id="rId49">
        <w:r w:rsidR="00E57E64" w:rsidRPr="00FF713B">
          <w:rPr>
            <w:rFonts w:ascii="Times New Roman" w:eastAsia="Times New Roman" w:hAnsi="Times New Roman" w:cs="Times New Roman"/>
            <w:color w:val="1155CC"/>
            <w:u w:val="single"/>
          </w:rPr>
          <w:t>https://doi.org/10.1590/0101-6628.198</w:t>
        </w:r>
      </w:hyperlink>
    </w:p>
    <w:sectPr w:rsidR="00E57E64" w:rsidRPr="00FF713B" w:rsidSect="00655FFF">
      <w:headerReference w:type="default" r:id="rId50"/>
      <w:pgSz w:w="11909" w:h="16834"/>
      <w:pgMar w:top="1418" w:right="1701" w:bottom="1418"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8C4634" w14:textId="77777777" w:rsidR="00D84457" w:rsidRDefault="00D84457">
      <w:pPr>
        <w:spacing w:line="240" w:lineRule="auto"/>
      </w:pPr>
      <w:r>
        <w:separator/>
      </w:r>
    </w:p>
  </w:endnote>
  <w:endnote w:type="continuationSeparator" w:id="0">
    <w:p w14:paraId="6480B9B7" w14:textId="77777777" w:rsidR="00D84457" w:rsidRDefault="00D84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827A60-28F6-4C97-BF93-BEC0CFA74DD4}"/>
  </w:font>
  <w:font w:name="Cambria">
    <w:panose1 w:val="02040503050406030204"/>
    <w:charset w:val="00"/>
    <w:family w:val="roman"/>
    <w:pitch w:val="variable"/>
    <w:sig w:usb0="E00006FF" w:usb1="420024FF" w:usb2="02000000" w:usb3="00000000" w:csb0="0000019F" w:csb1="00000000"/>
    <w:embedRegular r:id="rId2" w:fontKey="{CDBBE3EB-0215-4AD8-8320-7D356518100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5C8B4" w14:textId="77777777" w:rsidR="00D84457" w:rsidRDefault="00D84457">
      <w:pPr>
        <w:spacing w:line="240" w:lineRule="auto"/>
      </w:pPr>
      <w:r>
        <w:separator/>
      </w:r>
    </w:p>
  </w:footnote>
  <w:footnote w:type="continuationSeparator" w:id="0">
    <w:p w14:paraId="4C376477" w14:textId="77777777" w:rsidR="00D84457" w:rsidRDefault="00D84457">
      <w:pPr>
        <w:spacing w:line="240" w:lineRule="auto"/>
      </w:pPr>
      <w:r>
        <w:continuationSeparator/>
      </w:r>
    </w:p>
  </w:footnote>
  <w:footnote w:id="1">
    <w:p w14:paraId="0AFD534E" w14:textId="448D9CA7" w:rsidR="00BF7C98" w:rsidRPr="00BF7C98" w:rsidRDefault="00BF7C98" w:rsidP="00BF7C98">
      <w:pPr>
        <w:tabs>
          <w:tab w:val="left" w:pos="1260"/>
        </w:tabs>
        <w:ind w:left="182" w:hanging="40"/>
        <w:rPr>
          <w:sz w:val="18"/>
          <w:szCs w:val="18"/>
        </w:rPr>
      </w:pPr>
      <w:r w:rsidRPr="007A5B0C">
        <w:rPr>
          <w:rStyle w:val="WW-Refdenotaderodap"/>
          <w:rFonts w:ascii="Symbol" w:hAnsi="Symbol"/>
          <w:b/>
        </w:rPr>
        <w:t></w:t>
      </w:r>
      <w:r w:rsidRPr="00BF7C98">
        <w:rPr>
          <w:rFonts w:ascii="Times New Roman" w:hAnsi="Times New Roman" w:cs="Times New Roman"/>
          <w:sz w:val="18"/>
          <w:szCs w:val="18"/>
        </w:rPr>
        <w:t>Doutor em Educação Física pela UNICAMP, com formação em Educação pela UESC (graduação) e pela UFES (mestrado), atualmente realiza pós-doutorado na Loughborough University. É professor da UFMS, atuando no Programa de Pós-graduação em Educação (PPGEdu). Líder do grupo de pesquisa em políticas públicas de esporte, lazer, educação e saúde (GPPPELES).  Editor-chefe da Revista InterMeio</w:t>
      </w:r>
      <w:r>
        <w:rPr>
          <w:rFonts w:ascii="Times New Roman" w:hAnsi="Times New Roman" w:cs="Times New Roman"/>
          <w:sz w:val="18"/>
          <w:szCs w:val="18"/>
        </w:rPr>
        <w:t>.</w:t>
      </w:r>
    </w:p>
  </w:footnote>
  <w:footnote w:id="2">
    <w:p w14:paraId="2D5C23D6" w14:textId="2FC0C8D7" w:rsidR="00BF7C98" w:rsidRPr="00BF7C98" w:rsidRDefault="00BF7C98" w:rsidP="00BF7C98">
      <w:pPr>
        <w:tabs>
          <w:tab w:val="left" w:pos="1260"/>
        </w:tabs>
        <w:ind w:left="182" w:hanging="40"/>
        <w:rPr>
          <w:rFonts w:ascii="Times New Roman" w:eastAsia="Times New Roman" w:hAnsi="Times New Roman" w:cs="Times New Roman"/>
          <w:sz w:val="18"/>
          <w:szCs w:val="18"/>
        </w:rPr>
      </w:pPr>
      <w:r w:rsidRPr="00BF7C98">
        <w:rPr>
          <w:rStyle w:val="WW-Refdenotaderodap"/>
          <w:rFonts w:ascii="Symbol" w:hAnsi="Symbol"/>
          <w:b/>
          <w:sz w:val="18"/>
          <w:szCs w:val="18"/>
        </w:rPr>
        <w:t></w:t>
      </w:r>
      <w:r w:rsidRPr="00BF7C98">
        <w:rPr>
          <w:rFonts w:ascii="Times New Roman" w:eastAsia="Times New Roman" w:hAnsi="Times New Roman" w:cs="Times New Roman"/>
          <w:sz w:val="18"/>
          <w:szCs w:val="18"/>
        </w:rPr>
        <w:t xml:space="preserve"> </w:t>
      </w:r>
      <w:r w:rsidRPr="00BF7C98">
        <w:rPr>
          <w:rFonts w:ascii="Times New Roman" w:hAnsi="Times New Roman" w:cs="Times New Roman"/>
          <w:sz w:val="18"/>
          <w:szCs w:val="18"/>
        </w:rPr>
        <w:t>Doutoranda em Educação pelo Programa de Pós-graduação em Educação (PPGEdu) da UFMS, com mestrado na mesma instituição e especialização em Esporte, Educação e Inclusão. Graduada em Educação Física pela UFMS. Atuou como coordenadora do Programa Segundo Tempo. Atualmente trabalha na Fundação Municipal de Esportes. Integra grupo de pesquisa e associações científicas da área.</w:t>
      </w:r>
    </w:p>
    <w:p w14:paraId="08929981" w14:textId="01ADFAAF" w:rsidR="00BF7C98" w:rsidRDefault="00BF7C98" w:rsidP="00BF7C98">
      <w:pPr>
        <w:tabs>
          <w:tab w:val="left" w:pos="1260"/>
        </w:tabs>
        <w:ind w:left="182" w:hanging="40"/>
      </w:pPr>
      <w:r w:rsidRPr="00BF7C98">
        <w:rPr>
          <w:rStyle w:val="WW-Refdenotaderodap"/>
          <w:rFonts w:ascii="Symbol" w:hAnsi="Symbol"/>
          <w:b/>
          <w:sz w:val="18"/>
          <w:szCs w:val="18"/>
        </w:rPr>
        <w:t></w:t>
      </w:r>
      <w:r w:rsidRPr="00BF7C98">
        <w:rPr>
          <w:rStyle w:val="WW-Refdenotaderodap"/>
          <w:rFonts w:ascii="Symbol" w:hAnsi="Symbol"/>
          <w:b/>
          <w:sz w:val="18"/>
          <w:szCs w:val="18"/>
        </w:rPr>
        <w:t></w:t>
      </w:r>
      <w:r w:rsidRPr="00BF7C98">
        <w:rPr>
          <w:sz w:val="18"/>
          <w:szCs w:val="18"/>
        </w:rPr>
        <w:t>Doutor e Mestre em Educação Física pela UNICAMP, instituição pela qual é formado em Educação Física e Ciências Sociais. Professor adjunto na Universidade de Pernambuco (UPE) e professor do Programa de Pós-graduação em Educação Física em Rede Nacional (PROEF). Coordena o Grupo de Investigação em Trabalho, Lazer, Políticas Públicas em Educação Física (Grito/ESEF-UPE).</w:t>
      </w:r>
    </w:p>
  </w:footnote>
  <w:footnote w:id="3">
    <w:p w14:paraId="5661EB06" w14:textId="5AEE43DA" w:rsidR="00BF7C98" w:rsidRDefault="00BF7C98" w:rsidP="00BF7C98">
      <w:pPr>
        <w:ind w:firstLine="0"/>
      </w:pPr>
    </w:p>
    <w:p w14:paraId="54550044" w14:textId="05822863" w:rsidR="00BF7C98" w:rsidRDefault="00BF7C98" w:rsidP="00BF7C98">
      <w:pPr>
        <w:tabs>
          <w:tab w:val="left" w:pos="1260"/>
        </w:tabs>
        <w:ind w:left="182" w:hanging="40"/>
      </w:pPr>
    </w:p>
    <w:p w14:paraId="5BF823DE" w14:textId="77777777" w:rsidR="00BF7C98" w:rsidRDefault="00BF7C98" w:rsidP="00BF7C98">
      <w:pPr>
        <w:pStyle w:val="Textodenotaderodap"/>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87256" w14:textId="77777777" w:rsidR="00E57E64" w:rsidRDefault="00E57E6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D17EBD"/>
    <w:multiLevelType w:val="multilevel"/>
    <w:tmpl w:val="CBDC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E64"/>
    <w:rsid w:val="000B60AF"/>
    <w:rsid w:val="000B6A93"/>
    <w:rsid w:val="000E566F"/>
    <w:rsid w:val="001609E4"/>
    <w:rsid w:val="001F43AE"/>
    <w:rsid w:val="00255C1F"/>
    <w:rsid w:val="003665DF"/>
    <w:rsid w:val="00374525"/>
    <w:rsid w:val="003E7B9F"/>
    <w:rsid w:val="004429D1"/>
    <w:rsid w:val="00472EE2"/>
    <w:rsid w:val="004915FB"/>
    <w:rsid w:val="004C0CB1"/>
    <w:rsid w:val="00556086"/>
    <w:rsid w:val="006036EF"/>
    <w:rsid w:val="00655FFF"/>
    <w:rsid w:val="006A6DBE"/>
    <w:rsid w:val="00723B06"/>
    <w:rsid w:val="007520F7"/>
    <w:rsid w:val="007C138B"/>
    <w:rsid w:val="007E6A63"/>
    <w:rsid w:val="00822650"/>
    <w:rsid w:val="008C1119"/>
    <w:rsid w:val="008F07CA"/>
    <w:rsid w:val="009364C2"/>
    <w:rsid w:val="00952B06"/>
    <w:rsid w:val="009C1D6D"/>
    <w:rsid w:val="009C2C26"/>
    <w:rsid w:val="00A02A43"/>
    <w:rsid w:val="00A26BA8"/>
    <w:rsid w:val="00A615E6"/>
    <w:rsid w:val="00B12DC3"/>
    <w:rsid w:val="00B273A1"/>
    <w:rsid w:val="00B8310D"/>
    <w:rsid w:val="00BF7C98"/>
    <w:rsid w:val="00C72851"/>
    <w:rsid w:val="00D2006B"/>
    <w:rsid w:val="00D84457"/>
    <w:rsid w:val="00DD05B6"/>
    <w:rsid w:val="00E52A91"/>
    <w:rsid w:val="00E57E64"/>
    <w:rsid w:val="00E75081"/>
    <w:rsid w:val="00EA1C28"/>
    <w:rsid w:val="00EA32A9"/>
    <w:rsid w:val="00EA7A59"/>
    <w:rsid w:val="00EF7E22"/>
    <w:rsid w:val="00FA7B7C"/>
    <w:rsid w:val="00FF71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8839"/>
  <w15:docId w15:val="{0491D627-3805-439A-9594-A06AC974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pt-BR" w:eastAsia="pt-BR"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en-GB"/>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pPr>
      <w:spacing w:line="276" w:lineRule="auto"/>
    </w:pPr>
    <w:rPr>
      <w:sz w:val="22"/>
      <w:szCs w:val="22"/>
      <w:lang w:val="en-GB"/>
    </w:rPr>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o">
    <w:name w:val="Revision"/>
    <w:hidden/>
    <w:uiPriority w:val="99"/>
    <w:semiHidden/>
    <w:rsid w:val="001609E4"/>
    <w:pPr>
      <w:spacing w:line="240" w:lineRule="auto"/>
      <w:ind w:firstLine="0"/>
      <w:jc w:val="left"/>
    </w:pPr>
    <w:rPr>
      <w:sz w:val="22"/>
      <w:szCs w:val="22"/>
      <w:lang w:val="en-GB"/>
    </w:rPr>
  </w:style>
  <w:style w:type="paragraph" w:styleId="Textodenotaderodap">
    <w:name w:val="footnote text"/>
    <w:basedOn w:val="Normal"/>
    <w:link w:val="TextodenotaderodapChar"/>
    <w:semiHidden/>
    <w:unhideWhenUsed/>
    <w:rsid w:val="00B273A1"/>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273A1"/>
    <w:rPr>
      <w:lang w:val="en-GB"/>
    </w:rPr>
  </w:style>
  <w:style w:type="character" w:styleId="Refdenotaderodap">
    <w:name w:val="footnote reference"/>
    <w:basedOn w:val="Fontepargpadro"/>
    <w:uiPriority w:val="99"/>
    <w:semiHidden/>
    <w:unhideWhenUsed/>
    <w:rsid w:val="00B273A1"/>
    <w:rPr>
      <w:vertAlign w:val="superscript"/>
    </w:rPr>
  </w:style>
  <w:style w:type="character" w:styleId="Hyperlink">
    <w:name w:val="Hyperlink"/>
    <w:basedOn w:val="Fontepargpadro"/>
    <w:uiPriority w:val="99"/>
    <w:unhideWhenUsed/>
    <w:rsid w:val="00B273A1"/>
    <w:rPr>
      <w:color w:val="0000FF" w:themeColor="hyperlink"/>
      <w:u w:val="single"/>
    </w:rPr>
  </w:style>
  <w:style w:type="character" w:customStyle="1" w:styleId="UnresolvedMention">
    <w:name w:val="Unresolved Mention"/>
    <w:basedOn w:val="Fontepargpadro"/>
    <w:uiPriority w:val="99"/>
    <w:semiHidden/>
    <w:unhideWhenUsed/>
    <w:rsid w:val="00B273A1"/>
    <w:rPr>
      <w:color w:val="605E5C"/>
      <w:shd w:val="clear" w:color="auto" w:fill="E1DFDD"/>
    </w:rPr>
  </w:style>
  <w:style w:type="character" w:customStyle="1" w:styleId="CaracteresdeNotadeRodap">
    <w:name w:val="Caracteres de Nota de Rodapé"/>
    <w:rsid w:val="00BF7C98"/>
    <w:rPr>
      <w:vertAlign w:val="superscript"/>
    </w:rPr>
  </w:style>
  <w:style w:type="character" w:customStyle="1" w:styleId="WW-Refdenotaderodap">
    <w:name w:val="WW-Ref. de nota de rodapé"/>
    <w:rsid w:val="00BF7C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436452">
      <w:bodyDiv w:val="1"/>
      <w:marLeft w:val="0"/>
      <w:marRight w:val="0"/>
      <w:marTop w:val="0"/>
      <w:marBottom w:val="0"/>
      <w:divBdr>
        <w:top w:val="none" w:sz="0" w:space="0" w:color="auto"/>
        <w:left w:val="none" w:sz="0" w:space="0" w:color="auto"/>
        <w:bottom w:val="none" w:sz="0" w:space="0" w:color="auto"/>
        <w:right w:val="none" w:sz="0" w:space="0" w:color="auto"/>
      </w:divBdr>
    </w:div>
    <w:div w:id="792601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23-2026/2023/decreto/d11766.htm" TargetMode="External"/><Relationship Id="rId18" Type="http://schemas.openxmlformats.org/officeDocument/2006/relationships/hyperlink" Target="https://doi.org/10.5007/2175-8042.2017v29n52p136" TargetMode="External"/><Relationship Id="rId26" Type="http://schemas.openxmlformats.org/officeDocument/2006/relationships/hyperlink" Target="https://doi.org/10.1590/S0104-12902004000100004" TargetMode="External"/><Relationship Id="rId39" Type="http://schemas.openxmlformats.org/officeDocument/2006/relationships/hyperlink" Target="https://doi.org/10.35699/1981-3171.2019.15310" TargetMode="External"/><Relationship Id="rId3" Type="http://schemas.openxmlformats.org/officeDocument/2006/relationships/styles" Target="styles.xml"/><Relationship Id="rId21" Type="http://schemas.openxmlformats.org/officeDocument/2006/relationships/hyperlink" Target="https://doi.org/10.11606/issn.2316-9036.v0i17p86-101" TargetMode="External"/><Relationship Id="rId34" Type="http://schemas.openxmlformats.org/officeDocument/2006/relationships/hyperlink" Target="https://doi.org/10.14507/epaa.32.8090" TargetMode="External"/><Relationship Id="rId42" Type="http://schemas.openxmlformats.org/officeDocument/2006/relationships/hyperlink" Target="https://doi.org/10.5216/rpp.v17i4.29020" TargetMode="External"/><Relationship Id="rId47" Type="http://schemas.openxmlformats.org/officeDocument/2006/relationships/hyperlink" Target="http://tcu.jusbrasil.com.br/jurisprudencia/750997970/relatorio-de-auditoria-ra-ra-2264920182" TargetMode="External"/><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planalto.gov.br/ccivil_03/_ato2023-2026/2023/lei/l14597.htm" TargetMode="External"/><Relationship Id="rId17" Type="http://schemas.openxmlformats.org/officeDocument/2006/relationships/hyperlink" Target="https://www.planalto.gov.br/ccivil_03/_ato2023-2026/2023/lei/l14597.htm" TargetMode="External"/><Relationship Id="rId25" Type="http://schemas.openxmlformats.org/officeDocument/2006/relationships/hyperlink" Target="https://doi.org/10.1590/1678-987321297702" TargetMode="External"/><Relationship Id="rId33" Type="http://schemas.openxmlformats.org/officeDocument/2006/relationships/hyperlink" Target="https://legis.senado.leg.br/sdleg-getter/documento?dm=10172819&amp;ts=1773782203482&amp;rendition_principal=S&amp;disposition=inline" TargetMode="External"/><Relationship Id="rId38" Type="http://schemas.openxmlformats.org/officeDocument/2006/relationships/hyperlink" Target="https://doi.org/10.22456/1982-8918.147344" TargetMode="External"/><Relationship Id="rId46" Type="http://schemas.openxmlformats.org/officeDocument/2006/relationships/hyperlink" Target="https://cauc.tesouro.gov.br/ng/" TargetMode="External"/><Relationship Id="rId2" Type="http://schemas.openxmlformats.org/officeDocument/2006/relationships/numbering" Target="numbering.xml"/><Relationship Id="rId16" Type="http://schemas.openxmlformats.org/officeDocument/2006/relationships/hyperlink" Target="https://www.gov.br/esporte/pt-br/noticias-e-conteudos/esporte/copy_of_EDITALN.42023PSTPADRO.pdf/@@display-file/file" TargetMode="External"/><Relationship Id="rId20" Type="http://schemas.openxmlformats.org/officeDocument/2006/relationships/hyperlink" Target="https://doi.org/10.11606/issn.2316-9036.v0i17p86-101" TargetMode="External"/><Relationship Id="rId29" Type="http://schemas.openxmlformats.org/officeDocument/2006/relationships/hyperlink" Target="https://doi.org/10.35699/1981-3171.2013.686" TargetMode="External"/><Relationship Id="rId41" Type="http://schemas.openxmlformats.org/officeDocument/2006/relationships/hyperlink" Target="https://doi.org/10.5216/rpp.v17i4.29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br/fazenda/pt-br/acesso-a-informacao/institucional/legislacao/portarias-interministeriais/2003/arquivos-1/portaria-interministerial-no-3-497-de-24-de-novembro-de-2003.pdf" TargetMode="External"/><Relationship Id="rId24" Type="http://schemas.openxmlformats.org/officeDocument/2006/relationships/hyperlink" Target="https://doi.org/10.1590/1678-987321297702" TargetMode="External"/><Relationship Id="rId32" Type="http://schemas.openxmlformats.org/officeDocument/2006/relationships/hyperlink" Target="https://www.youtube.com/watch?v=JUGungvm_0U" TargetMode="External"/><Relationship Id="rId37" Type="http://schemas.openxmlformats.org/officeDocument/2006/relationships/hyperlink" Target="https://doi.org/10.14507/epaa.33.9113" TargetMode="External"/><Relationship Id="rId40" Type="http://schemas.openxmlformats.org/officeDocument/2006/relationships/hyperlink" Target="https://doi.org/10.35699/1981-3171.2019.15310" TargetMode="External"/><Relationship Id="rId45" Type="http://schemas.openxmlformats.org/officeDocument/2006/relationships/hyperlink" Target="https://hdl.handle.net/20.500.12733/9032" TargetMode="External"/><Relationship Id="rId5" Type="http://schemas.openxmlformats.org/officeDocument/2006/relationships/webSettings" Target="webSettings.xml"/><Relationship Id="rId15" Type="http://schemas.openxmlformats.org/officeDocument/2006/relationships/hyperlink" Target="https://www.gov.br/esporte/pt-br/acoes-e-programas/programa-segundo-tempo-pst/DiretrizesPSTPadro17052023FINAL.pdf" TargetMode="External"/><Relationship Id="rId23" Type="http://schemas.openxmlformats.org/officeDocument/2006/relationships/hyperlink" Target="about:blank" TargetMode="External"/><Relationship Id="rId28" Type="http://schemas.openxmlformats.org/officeDocument/2006/relationships/hyperlink" Target="https://doi.org/10.35699/1981-3171.2013.686" TargetMode="External"/><Relationship Id="rId36" Type="http://schemas.openxmlformats.org/officeDocument/2006/relationships/hyperlink" Target="https://doi.org/10.22456/1982-8918.147344" TargetMode="External"/><Relationship Id="rId49" Type="http://schemas.openxmlformats.org/officeDocument/2006/relationships/hyperlink" Target="https://doi.org/10.1590/0101-6628.198" TargetMode="External"/><Relationship Id="rId10" Type="http://schemas.openxmlformats.org/officeDocument/2006/relationships/hyperlink" Target="https://www.planalto.gov.br/ccivil_03/leis/l9615compilada.htm" TargetMode="External"/><Relationship Id="rId19" Type="http://schemas.openxmlformats.org/officeDocument/2006/relationships/hyperlink" Target="https://doi.org/10.5007/2175-8042.2017v29n52p136" TargetMode="External"/><Relationship Id="rId31" Type="http://schemas.openxmlformats.org/officeDocument/2006/relationships/hyperlink" Target="https://doi.org/10.1590/1807-55092016000400963" TargetMode="External"/><Relationship Id="rId44" Type="http://schemas.openxmlformats.org/officeDocument/2006/relationships/hyperlink" Target="https://doi.org/10.35699/1981-3171.2019.1357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www.gov.br/esporte" TargetMode="External"/><Relationship Id="rId22" Type="http://schemas.openxmlformats.org/officeDocument/2006/relationships/hyperlink" Target="https://doi.org/10.12660/cgpc.v5n18.43841" TargetMode="External"/><Relationship Id="rId27" Type="http://schemas.openxmlformats.org/officeDocument/2006/relationships/hyperlink" Target="https://doi.org/10.1590/S0104-12902004000100004" TargetMode="External"/><Relationship Id="rId30" Type="http://schemas.openxmlformats.org/officeDocument/2006/relationships/hyperlink" Target="https://doi.org/10.1590/1807-55092016000400963" TargetMode="External"/><Relationship Id="rId35" Type="http://schemas.openxmlformats.org/officeDocument/2006/relationships/hyperlink" Target="https://doi.org/10.22456/1982-8918.147344" TargetMode="External"/><Relationship Id="rId43" Type="http://schemas.openxmlformats.org/officeDocument/2006/relationships/hyperlink" Target="https://doi.org/10.35699/1981-3171.2019.13574" TargetMode="External"/><Relationship Id="rId48" Type="http://schemas.openxmlformats.org/officeDocument/2006/relationships/hyperlink" Target="https://doi.org/10.1590/0101-6628.198" TargetMode="External"/><Relationship Id="rId8" Type="http://schemas.openxmlformats.org/officeDocument/2006/relationships/hyperlink" Target="http://www2.camara.leg.br/legin/fed/lei/1970-1979/lei-6251-8-outubro-1975-357712-publicacaooriginal-1-pl.html" TargetMode="External"/><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57A19-18E6-497F-8337-B045FDB78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11159</Words>
  <Characters>60264</Characters>
  <Application>Microsoft Office Word</Application>
  <DocSecurity>4</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71281</CharactersWithSpaces>
  <SharedDoc>false</SharedDoc>
  <HLinks>
    <vt:vector size="252" baseType="variant">
      <vt:variant>
        <vt:i4>589901</vt:i4>
      </vt:variant>
      <vt:variant>
        <vt:i4>123</vt:i4>
      </vt:variant>
      <vt:variant>
        <vt:i4>0</vt:i4>
      </vt:variant>
      <vt:variant>
        <vt:i4>5</vt:i4>
      </vt:variant>
      <vt:variant>
        <vt:lpwstr>https://doi.org/10.1590/0101-6628.198</vt:lpwstr>
      </vt:variant>
      <vt:variant>
        <vt:lpwstr/>
      </vt:variant>
      <vt:variant>
        <vt:i4>589901</vt:i4>
      </vt:variant>
      <vt:variant>
        <vt:i4>120</vt:i4>
      </vt:variant>
      <vt:variant>
        <vt:i4>0</vt:i4>
      </vt:variant>
      <vt:variant>
        <vt:i4>5</vt:i4>
      </vt:variant>
      <vt:variant>
        <vt:lpwstr>https://doi.org/10.1590/0101-6628.198</vt:lpwstr>
      </vt:variant>
      <vt:variant>
        <vt:lpwstr/>
      </vt:variant>
      <vt:variant>
        <vt:i4>5505043</vt:i4>
      </vt:variant>
      <vt:variant>
        <vt:i4>117</vt:i4>
      </vt:variant>
      <vt:variant>
        <vt:i4>0</vt:i4>
      </vt:variant>
      <vt:variant>
        <vt:i4>5</vt:i4>
      </vt:variant>
      <vt:variant>
        <vt:lpwstr>http://tcu.jusbrasil.com.br/jurisprudencia/750997970/relatorio-de-auditoria-ra-ra-2264920182</vt:lpwstr>
      </vt:variant>
      <vt:variant>
        <vt:lpwstr/>
      </vt:variant>
      <vt:variant>
        <vt:i4>983104</vt:i4>
      </vt:variant>
      <vt:variant>
        <vt:i4>114</vt:i4>
      </vt:variant>
      <vt:variant>
        <vt:i4>0</vt:i4>
      </vt:variant>
      <vt:variant>
        <vt:i4>5</vt:i4>
      </vt:variant>
      <vt:variant>
        <vt:lpwstr>https://hdl.handle.net/20.500.12733/9032</vt:lpwstr>
      </vt:variant>
      <vt:variant>
        <vt:lpwstr/>
      </vt:variant>
      <vt:variant>
        <vt:i4>786518</vt:i4>
      </vt:variant>
      <vt:variant>
        <vt:i4>111</vt:i4>
      </vt:variant>
      <vt:variant>
        <vt:i4>0</vt:i4>
      </vt:variant>
      <vt:variant>
        <vt:i4>5</vt:i4>
      </vt:variant>
      <vt:variant>
        <vt:lpwstr>https://doi.org/10.35699/1981-3171.2019.13574</vt:lpwstr>
      </vt:variant>
      <vt:variant>
        <vt:lpwstr/>
      </vt:variant>
      <vt:variant>
        <vt:i4>786518</vt:i4>
      </vt:variant>
      <vt:variant>
        <vt:i4>108</vt:i4>
      </vt:variant>
      <vt:variant>
        <vt:i4>0</vt:i4>
      </vt:variant>
      <vt:variant>
        <vt:i4>5</vt:i4>
      </vt:variant>
      <vt:variant>
        <vt:lpwstr>https://doi.org/10.35699/1981-3171.2019.13574</vt:lpwstr>
      </vt:variant>
      <vt:variant>
        <vt:lpwstr/>
      </vt:variant>
      <vt:variant>
        <vt:i4>3473451</vt:i4>
      </vt:variant>
      <vt:variant>
        <vt:i4>105</vt:i4>
      </vt:variant>
      <vt:variant>
        <vt:i4>0</vt:i4>
      </vt:variant>
      <vt:variant>
        <vt:i4>5</vt:i4>
      </vt:variant>
      <vt:variant>
        <vt:lpwstr>https://doi.org/10.5216/rpp.v17i4.29020</vt:lpwstr>
      </vt:variant>
      <vt:variant>
        <vt:lpwstr/>
      </vt:variant>
      <vt:variant>
        <vt:i4>3473451</vt:i4>
      </vt:variant>
      <vt:variant>
        <vt:i4>102</vt:i4>
      </vt:variant>
      <vt:variant>
        <vt:i4>0</vt:i4>
      </vt:variant>
      <vt:variant>
        <vt:i4>5</vt:i4>
      </vt:variant>
      <vt:variant>
        <vt:lpwstr>https://doi.org/10.5216/rpp.v17i4.29020</vt:lpwstr>
      </vt:variant>
      <vt:variant>
        <vt:lpwstr/>
      </vt:variant>
      <vt:variant>
        <vt:i4>786512</vt:i4>
      </vt:variant>
      <vt:variant>
        <vt:i4>99</vt:i4>
      </vt:variant>
      <vt:variant>
        <vt:i4>0</vt:i4>
      </vt:variant>
      <vt:variant>
        <vt:i4>5</vt:i4>
      </vt:variant>
      <vt:variant>
        <vt:lpwstr>https://doi.org/10.35699/1981-3171.2019.15310</vt:lpwstr>
      </vt:variant>
      <vt:variant>
        <vt:lpwstr/>
      </vt:variant>
      <vt:variant>
        <vt:i4>786512</vt:i4>
      </vt:variant>
      <vt:variant>
        <vt:i4>96</vt:i4>
      </vt:variant>
      <vt:variant>
        <vt:i4>0</vt:i4>
      </vt:variant>
      <vt:variant>
        <vt:i4>5</vt:i4>
      </vt:variant>
      <vt:variant>
        <vt:lpwstr>https://doi.org/10.35699/1981-3171.2019.15310</vt:lpwstr>
      </vt:variant>
      <vt:variant>
        <vt:lpwstr/>
      </vt:variant>
      <vt:variant>
        <vt:i4>1704025</vt:i4>
      </vt:variant>
      <vt:variant>
        <vt:i4>93</vt:i4>
      </vt:variant>
      <vt:variant>
        <vt:i4>0</vt:i4>
      </vt:variant>
      <vt:variant>
        <vt:i4>5</vt:i4>
      </vt:variant>
      <vt:variant>
        <vt:lpwstr>https://doi.org/10.22456/1982-8918.147344</vt:lpwstr>
      </vt:variant>
      <vt:variant>
        <vt:lpwstr/>
      </vt:variant>
      <vt:variant>
        <vt:i4>2031692</vt:i4>
      </vt:variant>
      <vt:variant>
        <vt:i4>90</vt:i4>
      </vt:variant>
      <vt:variant>
        <vt:i4>0</vt:i4>
      </vt:variant>
      <vt:variant>
        <vt:i4>5</vt:i4>
      </vt:variant>
      <vt:variant>
        <vt:lpwstr>https://doi.org/10.14507/epaa.33.9113</vt:lpwstr>
      </vt:variant>
      <vt:variant>
        <vt:lpwstr/>
      </vt:variant>
      <vt:variant>
        <vt:i4>1704025</vt:i4>
      </vt:variant>
      <vt:variant>
        <vt:i4>87</vt:i4>
      </vt:variant>
      <vt:variant>
        <vt:i4>0</vt:i4>
      </vt:variant>
      <vt:variant>
        <vt:i4>5</vt:i4>
      </vt:variant>
      <vt:variant>
        <vt:lpwstr>https://doi.org/10.22456/1982-8918.147344</vt:lpwstr>
      </vt:variant>
      <vt:variant>
        <vt:lpwstr/>
      </vt:variant>
      <vt:variant>
        <vt:i4>1704025</vt:i4>
      </vt:variant>
      <vt:variant>
        <vt:i4>84</vt:i4>
      </vt:variant>
      <vt:variant>
        <vt:i4>0</vt:i4>
      </vt:variant>
      <vt:variant>
        <vt:i4>5</vt:i4>
      </vt:variant>
      <vt:variant>
        <vt:lpwstr>https://doi.org/10.22456/1982-8918.147344</vt:lpwstr>
      </vt:variant>
      <vt:variant>
        <vt:lpwstr/>
      </vt:variant>
      <vt:variant>
        <vt:i4>1507405</vt:i4>
      </vt:variant>
      <vt:variant>
        <vt:i4>81</vt:i4>
      </vt:variant>
      <vt:variant>
        <vt:i4>0</vt:i4>
      </vt:variant>
      <vt:variant>
        <vt:i4>5</vt:i4>
      </vt:variant>
      <vt:variant>
        <vt:lpwstr>https://doi.org/10.14507/epaa.32.8090</vt:lpwstr>
      </vt:variant>
      <vt:variant>
        <vt:lpwstr/>
      </vt:variant>
      <vt:variant>
        <vt:i4>7012439</vt:i4>
      </vt:variant>
      <vt:variant>
        <vt:i4>78</vt:i4>
      </vt:variant>
      <vt:variant>
        <vt:i4>0</vt:i4>
      </vt:variant>
      <vt:variant>
        <vt:i4>5</vt:i4>
      </vt:variant>
      <vt:variant>
        <vt:lpwstr>https://legis.senado.leg.br/sdleg-getter/documento?dm=10172819&amp;ts=1773782203482&amp;rendition_principal=S&amp;disposition=inline</vt:lpwstr>
      </vt:variant>
      <vt:variant>
        <vt:lpwstr/>
      </vt:variant>
      <vt:variant>
        <vt:i4>6619141</vt:i4>
      </vt:variant>
      <vt:variant>
        <vt:i4>75</vt:i4>
      </vt:variant>
      <vt:variant>
        <vt:i4>0</vt:i4>
      </vt:variant>
      <vt:variant>
        <vt:i4>5</vt:i4>
      </vt:variant>
      <vt:variant>
        <vt:lpwstr>https://www.youtube.com/watch?v=JUGungvm_0U</vt:lpwstr>
      </vt:variant>
      <vt:variant>
        <vt:lpwstr/>
      </vt:variant>
      <vt:variant>
        <vt:i4>2687099</vt:i4>
      </vt:variant>
      <vt:variant>
        <vt:i4>72</vt:i4>
      </vt:variant>
      <vt:variant>
        <vt:i4>0</vt:i4>
      </vt:variant>
      <vt:variant>
        <vt:i4>5</vt:i4>
      </vt:variant>
      <vt:variant>
        <vt:lpwstr>https://doi.org/10.1590/1807-55092016000400963</vt:lpwstr>
      </vt:variant>
      <vt:variant>
        <vt:lpwstr/>
      </vt:variant>
      <vt:variant>
        <vt:i4>2687099</vt:i4>
      </vt:variant>
      <vt:variant>
        <vt:i4>69</vt:i4>
      </vt:variant>
      <vt:variant>
        <vt:i4>0</vt:i4>
      </vt:variant>
      <vt:variant>
        <vt:i4>5</vt:i4>
      </vt:variant>
      <vt:variant>
        <vt:lpwstr>https://doi.org/10.1590/1807-55092016000400963</vt:lpwstr>
      </vt:variant>
      <vt:variant>
        <vt:lpwstr/>
      </vt:variant>
      <vt:variant>
        <vt:i4>3145838</vt:i4>
      </vt:variant>
      <vt:variant>
        <vt:i4>66</vt:i4>
      </vt:variant>
      <vt:variant>
        <vt:i4>0</vt:i4>
      </vt:variant>
      <vt:variant>
        <vt:i4>5</vt:i4>
      </vt:variant>
      <vt:variant>
        <vt:lpwstr>https://doi.org/10.35699/1981-3171.2013.686</vt:lpwstr>
      </vt:variant>
      <vt:variant>
        <vt:lpwstr/>
      </vt:variant>
      <vt:variant>
        <vt:i4>3145838</vt:i4>
      </vt:variant>
      <vt:variant>
        <vt:i4>63</vt:i4>
      </vt:variant>
      <vt:variant>
        <vt:i4>0</vt:i4>
      </vt:variant>
      <vt:variant>
        <vt:i4>5</vt:i4>
      </vt:variant>
      <vt:variant>
        <vt:lpwstr>https://doi.org/10.35699/1981-3171.2013.686</vt:lpwstr>
      </vt:variant>
      <vt:variant>
        <vt:lpwstr/>
      </vt:variant>
      <vt:variant>
        <vt:i4>3145763</vt:i4>
      </vt:variant>
      <vt:variant>
        <vt:i4>60</vt:i4>
      </vt:variant>
      <vt:variant>
        <vt:i4>0</vt:i4>
      </vt:variant>
      <vt:variant>
        <vt:i4>5</vt:i4>
      </vt:variant>
      <vt:variant>
        <vt:lpwstr>https://doi.org/10.1590/S0104-12902004000100004</vt:lpwstr>
      </vt:variant>
      <vt:variant>
        <vt:lpwstr/>
      </vt:variant>
      <vt:variant>
        <vt:i4>3145763</vt:i4>
      </vt:variant>
      <vt:variant>
        <vt:i4>57</vt:i4>
      </vt:variant>
      <vt:variant>
        <vt:i4>0</vt:i4>
      </vt:variant>
      <vt:variant>
        <vt:i4>5</vt:i4>
      </vt:variant>
      <vt:variant>
        <vt:lpwstr>https://doi.org/10.1590/S0104-12902004000100004</vt:lpwstr>
      </vt:variant>
      <vt:variant>
        <vt:lpwstr/>
      </vt:variant>
      <vt:variant>
        <vt:i4>1900608</vt:i4>
      </vt:variant>
      <vt:variant>
        <vt:i4>54</vt:i4>
      </vt:variant>
      <vt:variant>
        <vt:i4>0</vt:i4>
      </vt:variant>
      <vt:variant>
        <vt:i4>5</vt:i4>
      </vt:variant>
      <vt:variant>
        <vt:lpwstr>https://doi.org/10.1590/1678-987321297702</vt:lpwstr>
      </vt:variant>
      <vt:variant>
        <vt:lpwstr/>
      </vt:variant>
      <vt:variant>
        <vt:i4>1900608</vt:i4>
      </vt:variant>
      <vt:variant>
        <vt:i4>51</vt:i4>
      </vt:variant>
      <vt:variant>
        <vt:i4>0</vt:i4>
      </vt:variant>
      <vt:variant>
        <vt:i4>5</vt:i4>
      </vt:variant>
      <vt:variant>
        <vt:lpwstr>https://doi.org/10.1590/1678-987321297702</vt:lpwstr>
      </vt:variant>
      <vt:variant>
        <vt:lpwstr/>
      </vt:variant>
      <vt:variant>
        <vt:i4>3080313</vt:i4>
      </vt:variant>
      <vt:variant>
        <vt:i4>48</vt:i4>
      </vt:variant>
      <vt:variant>
        <vt:i4>0</vt:i4>
      </vt:variant>
      <vt:variant>
        <vt:i4>5</vt:i4>
      </vt:variant>
      <vt:variant>
        <vt:lpwstr>about:blank</vt:lpwstr>
      </vt:variant>
      <vt:variant>
        <vt:lpwstr/>
      </vt:variant>
      <vt:variant>
        <vt:i4>1704025</vt:i4>
      </vt:variant>
      <vt:variant>
        <vt:i4>45</vt:i4>
      </vt:variant>
      <vt:variant>
        <vt:i4>0</vt:i4>
      </vt:variant>
      <vt:variant>
        <vt:i4>5</vt:i4>
      </vt:variant>
      <vt:variant>
        <vt:lpwstr>https://doi.org/10.12660/cgpc.v5n18.43841</vt:lpwstr>
      </vt:variant>
      <vt:variant>
        <vt:lpwstr/>
      </vt:variant>
      <vt:variant>
        <vt:i4>6160460</vt:i4>
      </vt:variant>
      <vt:variant>
        <vt:i4>42</vt:i4>
      </vt:variant>
      <vt:variant>
        <vt:i4>0</vt:i4>
      </vt:variant>
      <vt:variant>
        <vt:i4>5</vt:i4>
      </vt:variant>
      <vt:variant>
        <vt:lpwstr>https://doi.org/10.11606/issn.2316-9036.v0i17p86-101</vt:lpwstr>
      </vt:variant>
      <vt:variant>
        <vt:lpwstr/>
      </vt:variant>
      <vt:variant>
        <vt:i4>6160460</vt:i4>
      </vt:variant>
      <vt:variant>
        <vt:i4>39</vt:i4>
      </vt:variant>
      <vt:variant>
        <vt:i4>0</vt:i4>
      </vt:variant>
      <vt:variant>
        <vt:i4>5</vt:i4>
      </vt:variant>
      <vt:variant>
        <vt:lpwstr>https://doi.org/10.11606/issn.2316-9036.v0i17p86-101</vt:lpwstr>
      </vt:variant>
      <vt:variant>
        <vt:lpwstr/>
      </vt:variant>
      <vt:variant>
        <vt:i4>6225997</vt:i4>
      </vt:variant>
      <vt:variant>
        <vt:i4>36</vt:i4>
      </vt:variant>
      <vt:variant>
        <vt:i4>0</vt:i4>
      </vt:variant>
      <vt:variant>
        <vt:i4>5</vt:i4>
      </vt:variant>
      <vt:variant>
        <vt:lpwstr>https://doi.org/10.5007/2175-8042.2017v29n52p136</vt:lpwstr>
      </vt:variant>
      <vt:variant>
        <vt:lpwstr/>
      </vt:variant>
      <vt:variant>
        <vt:i4>6225997</vt:i4>
      </vt:variant>
      <vt:variant>
        <vt:i4>33</vt:i4>
      </vt:variant>
      <vt:variant>
        <vt:i4>0</vt:i4>
      </vt:variant>
      <vt:variant>
        <vt:i4>5</vt:i4>
      </vt:variant>
      <vt:variant>
        <vt:lpwstr>https://doi.org/10.5007/2175-8042.2017v29n52p136</vt:lpwstr>
      </vt:variant>
      <vt:variant>
        <vt:lpwstr/>
      </vt:variant>
      <vt:variant>
        <vt:i4>2031622</vt:i4>
      </vt:variant>
      <vt:variant>
        <vt:i4>30</vt:i4>
      </vt:variant>
      <vt:variant>
        <vt:i4>0</vt:i4>
      </vt:variant>
      <vt:variant>
        <vt:i4>5</vt:i4>
      </vt:variant>
      <vt:variant>
        <vt:lpwstr>https://www.planalto.gov.br/ccivil_03/_ato2023-2026/2023/lei/l14597.htm</vt:lpwstr>
      </vt:variant>
      <vt:variant>
        <vt:lpwstr>promulgacao</vt:lpwstr>
      </vt:variant>
      <vt:variant>
        <vt:i4>3276904</vt:i4>
      </vt:variant>
      <vt:variant>
        <vt:i4>27</vt:i4>
      </vt:variant>
      <vt:variant>
        <vt:i4>0</vt:i4>
      </vt:variant>
      <vt:variant>
        <vt:i4>5</vt:i4>
      </vt:variant>
      <vt:variant>
        <vt:lpwstr>https://www.gov.br/esporte/pt-br/noticias-e-conteudos/esporte/copy_of_EDITALN.42023PSTPADRO.pdf/@@display-file/file</vt:lpwstr>
      </vt:variant>
      <vt:variant>
        <vt:lpwstr/>
      </vt:variant>
      <vt:variant>
        <vt:i4>1114176</vt:i4>
      </vt:variant>
      <vt:variant>
        <vt:i4>24</vt:i4>
      </vt:variant>
      <vt:variant>
        <vt:i4>0</vt:i4>
      </vt:variant>
      <vt:variant>
        <vt:i4>5</vt:i4>
      </vt:variant>
      <vt:variant>
        <vt:lpwstr>https://www.gov.br/esporte/pt-br/acoes-e-programas/programa-segundo-tempo-pst/DiretrizesPSTPadro17052023FINAL.pdf</vt:lpwstr>
      </vt:variant>
      <vt:variant>
        <vt:lpwstr/>
      </vt:variant>
      <vt:variant>
        <vt:i4>7929972</vt:i4>
      </vt:variant>
      <vt:variant>
        <vt:i4>21</vt:i4>
      </vt:variant>
      <vt:variant>
        <vt:i4>0</vt:i4>
      </vt:variant>
      <vt:variant>
        <vt:i4>5</vt:i4>
      </vt:variant>
      <vt:variant>
        <vt:lpwstr>https://www.gov.br/esporte</vt:lpwstr>
      </vt:variant>
      <vt:variant>
        <vt:lpwstr/>
      </vt:variant>
      <vt:variant>
        <vt:i4>6684781</vt:i4>
      </vt:variant>
      <vt:variant>
        <vt:i4>18</vt:i4>
      </vt:variant>
      <vt:variant>
        <vt:i4>0</vt:i4>
      </vt:variant>
      <vt:variant>
        <vt:i4>5</vt:i4>
      </vt:variant>
      <vt:variant>
        <vt:lpwstr>https://www.planalto.gov.br/ccivil_03/_ato2023-2026/2023/decreto/d11766.htm</vt:lpwstr>
      </vt:variant>
      <vt:variant>
        <vt:lpwstr/>
      </vt:variant>
      <vt:variant>
        <vt:i4>7077992</vt:i4>
      </vt:variant>
      <vt:variant>
        <vt:i4>15</vt:i4>
      </vt:variant>
      <vt:variant>
        <vt:i4>0</vt:i4>
      </vt:variant>
      <vt:variant>
        <vt:i4>5</vt:i4>
      </vt:variant>
      <vt:variant>
        <vt:lpwstr>https://www.planalto.gov.br/ccivil_03/_ato2023-2026/2023/lei/l14597.htm</vt:lpwstr>
      </vt:variant>
      <vt:variant>
        <vt:lpwstr/>
      </vt:variant>
      <vt:variant>
        <vt:i4>7602212</vt:i4>
      </vt:variant>
      <vt:variant>
        <vt:i4>12</vt:i4>
      </vt:variant>
      <vt:variant>
        <vt:i4>0</vt:i4>
      </vt:variant>
      <vt:variant>
        <vt:i4>5</vt:i4>
      </vt:variant>
      <vt:variant>
        <vt:lpwstr>https://www.gov.br/fazenda/pt-br/acesso-a-informacao/institucional/legislacao/portarias-interministeriais/2003/arquivos-1/portaria-interministerial-no-3-497-de-24-de-novembro-de-2003.pdf</vt:lpwstr>
      </vt:variant>
      <vt:variant>
        <vt:lpwstr/>
      </vt:variant>
      <vt:variant>
        <vt:i4>4653179</vt:i4>
      </vt:variant>
      <vt:variant>
        <vt:i4>9</vt:i4>
      </vt:variant>
      <vt:variant>
        <vt:i4>0</vt:i4>
      </vt:variant>
      <vt:variant>
        <vt:i4>5</vt:i4>
      </vt:variant>
      <vt:variant>
        <vt:lpwstr>https://www.planalto.gov.br/ccivil_03/leis/l9615compilada.htm</vt:lpwstr>
      </vt:variant>
      <vt:variant>
        <vt:lpwstr/>
      </vt:variant>
      <vt:variant>
        <vt:i4>2097176</vt:i4>
      </vt:variant>
      <vt:variant>
        <vt:i4>6</vt:i4>
      </vt:variant>
      <vt:variant>
        <vt:i4>0</vt:i4>
      </vt:variant>
      <vt:variant>
        <vt:i4>5</vt:i4>
      </vt:variant>
      <vt:variant>
        <vt:lpwstr>https://www.planalto.gov.br/ccivil_03/constituicao/constituicao.htm</vt:lpwstr>
      </vt:variant>
      <vt:variant>
        <vt:lpwstr/>
      </vt:variant>
      <vt:variant>
        <vt:i4>655377</vt:i4>
      </vt:variant>
      <vt:variant>
        <vt:i4>3</vt:i4>
      </vt:variant>
      <vt:variant>
        <vt:i4>0</vt:i4>
      </vt:variant>
      <vt:variant>
        <vt:i4>5</vt:i4>
      </vt:variant>
      <vt:variant>
        <vt:lpwstr>https://www2.camara.leg.br/legin/fed/decret/1980-1987/decreto-91452-19-julho-1985-441587-publicacaooriginal-1-pe.html</vt:lpwstr>
      </vt:variant>
      <vt:variant>
        <vt:lpwstr/>
      </vt:variant>
      <vt:variant>
        <vt:i4>4391001</vt:i4>
      </vt:variant>
      <vt:variant>
        <vt:i4>0</vt:i4>
      </vt:variant>
      <vt:variant>
        <vt:i4>0</vt:i4>
      </vt:variant>
      <vt:variant>
        <vt:i4>5</vt:i4>
      </vt:variant>
      <vt:variant>
        <vt:lpwstr>http://www2.camara.leg.br/legin/fed/lei/1970-1979/lei-6251-8-outubro-1975-357712-publicacaooriginal-1-pl.html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Lindberg Aziz Cury Junior</dc:creator>
  <cp:lastModifiedBy>Maria do Socorro Dias Aires de Carvalho</cp:lastModifiedBy>
  <cp:revision>2</cp:revision>
  <dcterms:created xsi:type="dcterms:W3CDTF">2026-06-30T18:26:00Z</dcterms:created>
  <dcterms:modified xsi:type="dcterms:W3CDTF">2026-06-30T18:26:00Z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4865ceef-1950-40dc-86de-5b2c7dad8b72</vt:lpwstr>
  </property>
</Properties>
</file>