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5D1A980" w14:textId="77777777" w:rsidR="00716288" w:rsidRPr="007A5B0C" w:rsidRDefault="00AA54FC" w:rsidP="002B6561">
      <w:pPr>
        <w:pStyle w:val="WW-Corpodetexto2"/>
        <w:spacing w:line="360" w:lineRule="auto"/>
      </w:pPr>
      <w:bookmarkStart w:id="0" w:name="OLE_LINK1"/>
      <w:bookmarkStart w:id="1" w:name="_GoBack"/>
      <w:bookmarkEnd w:id="1"/>
      <w:r w:rsidRPr="00AA54FC">
        <w:t>ALÉM DA PERFORMANCE: DESENVOLVIMENTO DO PROGRAMA DE</w:t>
      </w:r>
      <w:r w:rsidR="002B6561">
        <w:t xml:space="preserve"> </w:t>
      </w:r>
      <w:r w:rsidRPr="00AA54FC">
        <w:t>PREPARAÇÃO MENTAL PARA ATLETAS (PPMA)</w:t>
      </w:r>
    </w:p>
    <w:bookmarkEnd w:id="0"/>
    <w:p w14:paraId="676086AA" w14:textId="77777777" w:rsidR="00716288" w:rsidRDefault="00716288" w:rsidP="002B6561">
      <w:pPr>
        <w:pStyle w:val="WW-Corpodetexto2"/>
        <w:spacing w:line="360" w:lineRule="auto"/>
      </w:pPr>
    </w:p>
    <w:p w14:paraId="7D1B0890" w14:textId="77777777" w:rsidR="002B6561" w:rsidRPr="007A5B0C" w:rsidRDefault="002B6561" w:rsidP="002B6561">
      <w:pPr>
        <w:pStyle w:val="WW-Corpodetexto2"/>
        <w:spacing w:line="360" w:lineRule="auto"/>
      </w:pPr>
    </w:p>
    <w:p w14:paraId="1124703B" w14:textId="77777777" w:rsidR="00760245" w:rsidRPr="009827F3" w:rsidRDefault="00AA54FC" w:rsidP="002B6561">
      <w:pPr>
        <w:spacing w:line="360" w:lineRule="auto"/>
        <w:jc w:val="center"/>
        <w:rPr>
          <w:rFonts w:eastAsia="Times New Roman"/>
          <w:b/>
          <w:sz w:val="22"/>
          <w:lang w:val="en-US"/>
        </w:rPr>
      </w:pPr>
      <w:r w:rsidRPr="009827F3">
        <w:rPr>
          <w:rFonts w:eastAsia="Times New Roman"/>
          <w:b/>
          <w:sz w:val="22"/>
          <w:lang w:val="en-US"/>
        </w:rPr>
        <w:t>BEYOND PERFORMANCE: DEVELOPING A MENTAL PREPARATION PROGRAM FOR ATHLETES (PPMA)</w:t>
      </w:r>
    </w:p>
    <w:p w14:paraId="3DF23AE9" w14:textId="77777777" w:rsidR="00760245" w:rsidRPr="009827F3" w:rsidRDefault="00760245" w:rsidP="002B6561">
      <w:pPr>
        <w:spacing w:line="360" w:lineRule="auto"/>
        <w:jc w:val="center"/>
        <w:rPr>
          <w:rFonts w:eastAsia="Times New Roman"/>
          <w:b/>
          <w:sz w:val="22"/>
          <w:lang w:val="en-US"/>
        </w:rPr>
      </w:pPr>
    </w:p>
    <w:p w14:paraId="10CACE52" w14:textId="77777777" w:rsidR="002B6561" w:rsidRPr="009827F3" w:rsidRDefault="002B6561" w:rsidP="002B6561">
      <w:pPr>
        <w:spacing w:line="360" w:lineRule="auto"/>
        <w:jc w:val="center"/>
        <w:rPr>
          <w:rFonts w:eastAsia="Times New Roman"/>
          <w:b/>
          <w:sz w:val="22"/>
          <w:lang w:val="en-US"/>
        </w:rPr>
      </w:pPr>
    </w:p>
    <w:p w14:paraId="4F59D2D1" w14:textId="77777777" w:rsidR="002A3F49" w:rsidRPr="00B979AE" w:rsidRDefault="00AA54FC" w:rsidP="002B6561">
      <w:pPr>
        <w:spacing w:line="360" w:lineRule="auto"/>
        <w:jc w:val="center"/>
        <w:rPr>
          <w:rFonts w:eastAsia="Times New Roman"/>
          <w:b/>
          <w:sz w:val="22"/>
        </w:rPr>
      </w:pPr>
      <w:r w:rsidRPr="00AA54FC">
        <w:rPr>
          <w:rFonts w:eastAsia="Times New Roman"/>
          <w:b/>
          <w:sz w:val="22"/>
        </w:rPr>
        <w:t>MÁS ALLÁ DEL RENDIMIENTO: PROGRAMA DE PREPARACIÓN MENTAL PARA ATLETAS (PPMA)</w:t>
      </w:r>
    </w:p>
    <w:p w14:paraId="43F96A27" w14:textId="77777777" w:rsidR="002B6561" w:rsidRDefault="002B6561" w:rsidP="002B6561">
      <w:pPr>
        <w:spacing w:line="360" w:lineRule="auto"/>
        <w:rPr>
          <w:b/>
          <w:sz w:val="22"/>
        </w:rPr>
      </w:pPr>
    </w:p>
    <w:p w14:paraId="526A25EB" w14:textId="77777777" w:rsidR="002B6561" w:rsidRPr="006C62F2" w:rsidRDefault="002B6561" w:rsidP="002B6561">
      <w:pPr>
        <w:spacing w:line="360" w:lineRule="auto"/>
        <w:rPr>
          <w:b/>
          <w:sz w:val="10"/>
          <w:szCs w:val="10"/>
        </w:rPr>
      </w:pPr>
    </w:p>
    <w:p w14:paraId="4D2B256F" w14:textId="67D8F3E7" w:rsidR="007B32B5" w:rsidRDefault="007B32B5" w:rsidP="002B6561">
      <w:pPr>
        <w:spacing w:line="360" w:lineRule="auto"/>
        <w:jc w:val="right"/>
        <w:rPr>
          <w:sz w:val="22"/>
          <w:szCs w:val="20"/>
        </w:rPr>
      </w:pPr>
      <w:r w:rsidRPr="007B32B5">
        <w:rPr>
          <w:sz w:val="22"/>
          <w:szCs w:val="20"/>
        </w:rPr>
        <w:t>Manoella Fiochi-Marques¹</w:t>
      </w:r>
      <w:r w:rsidR="006C62F2" w:rsidRPr="007A5B0C">
        <w:rPr>
          <w:rStyle w:val="WW-Refdenotaderodap"/>
          <w:rFonts w:ascii="Symbol" w:hAnsi="Symbol"/>
          <w:b/>
          <w:sz w:val="22"/>
        </w:rPr>
        <w:footnoteReference w:customMarkFollows="1" w:id="1"/>
        <w:t></w:t>
      </w:r>
    </w:p>
    <w:p w14:paraId="3ABC4410" w14:textId="5B2381F9" w:rsidR="007B32B5" w:rsidRDefault="007B32B5" w:rsidP="002B6561">
      <w:pPr>
        <w:spacing w:line="360" w:lineRule="auto"/>
        <w:jc w:val="right"/>
        <w:rPr>
          <w:sz w:val="22"/>
          <w:szCs w:val="20"/>
        </w:rPr>
      </w:pPr>
      <w:r w:rsidRPr="007B32B5">
        <w:rPr>
          <w:sz w:val="22"/>
          <w:szCs w:val="20"/>
        </w:rPr>
        <w:t>Evandro Morais Peixoto²</w:t>
      </w:r>
    </w:p>
    <w:p w14:paraId="4D3D9AB6" w14:textId="1EC00AA6" w:rsidR="002A3F49" w:rsidRPr="007A5B0C" w:rsidRDefault="007B32B5" w:rsidP="002B6561">
      <w:pPr>
        <w:spacing w:line="360" w:lineRule="auto"/>
        <w:jc w:val="right"/>
        <w:rPr>
          <w:b/>
          <w:sz w:val="22"/>
        </w:rPr>
      </w:pPr>
      <w:r w:rsidRPr="007B32B5">
        <w:rPr>
          <w:sz w:val="22"/>
          <w:szCs w:val="20"/>
        </w:rPr>
        <w:t>Paula Teixeira Fernandes</w:t>
      </w:r>
      <w:r>
        <w:t>³</w:t>
      </w:r>
    </w:p>
    <w:p w14:paraId="4F651900" w14:textId="77777777" w:rsidR="002A3F49" w:rsidRPr="007A5B0C" w:rsidRDefault="002A3F49" w:rsidP="002B6561">
      <w:pPr>
        <w:spacing w:line="360" w:lineRule="auto"/>
        <w:rPr>
          <w:b/>
          <w:sz w:val="22"/>
        </w:rPr>
      </w:pPr>
    </w:p>
    <w:p w14:paraId="747CE984" w14:textId="77777777" w:rsidR="00A22A97" w:rsidRDefault="002A3F49" w:rsidP="002B6561">
      <w:pPr>
        <w:spacing w:line="360" w:lineRule="auto"/>
        <w:jc w:val="both"/>
        <w:rPr>
          <w:sz w:val="20"/>
          <w:szCs w:val="20"/>
        </w:rPr>
      </w:pPr>
      <w:r w:rsidRPr="007A5B0C">
        <w:rPr>
          <w:b/>
          <w:sz w:val="20"/>
          <w:szCs w:val="20"/>
        </w:rPr>
        <w:t>Resumo</w:t>
      </w:r>
      <w:r w:rsidRPr="007A5B0C">
        <w:rPr>
          <w:sz w:val="20"/>
          <w:szCs w:val="20"/>
        </w:rPr>
        <w:t xml:space="preserve">: </w:t>
      </w:r>
      <w:r w:rsidR="00757938" w:rsidRPr="00757938">
        <w:rPr>
          <w:sz w:val="20"/>
          <w:szCs w:val="20"/>
        </w:rPr>
        <w:t>A preparação psicológica no esporte de alto rendimento tem evoluído para integrar desempenho e saúde mental. Este estudo teve como objetivo desenvolver o Programa de Preparação Mental para Atletas (PPMA), baseado no modelo Medalha de Ouro para Psicologia do Esporte (GMP-SP) e adaptado ao contexto brasileiro. Utilizou-se abordagem teórico-aplicada, com revisão de literatura, análise conceitual do modelo e adequação sociocultural. O programa foi estruturado em 16 encontros distribuídos em quatro eixos: habilidades fundamentais, habilidades de autorregulação, habilidades interpessoais e saúde mental/projeto de vida. Os resultados evidenciam a ampliação do modelo ao formalizar a saúde mental como eixo estruturante. Adicionalmente, o programa inova ao incorporar dimensões relacionadas à carreira e ao projeto de vida, em consonância com a performance sustentável. Conclui-se que o PPMA constitui uma proposta aplicável, integrada e culturalmente sensível para o esporte de alto rendimento.</w:t>
      </w:r>
    </w:p>
    <w:p w14:paraId="771768F5" w14:textId="77777777" w:rsidR="002A3F49" w:rsidRPr="00757938" w:rsidRDefault="006D59B7" w:rsidP="002B6561">
      <w:pPr>
        <w:spacing w:line="360" w:lineRule="auto"/>
        <w:jc w:val="both"/>
        <w:rPr>
          <w:sz w:val="20"/>
          <w:szCs w:val="20"/>
        </w:rPr>
      </w:pPr>
      <w:r w:rsidRPr="00757938">
        <w:rPr>
          <w:b/>
          <w:sz w:val="20"/>
          <w:szCs w:val="20"/>
        </w:rPr>
        <w:t>Palavra</w:t>
      </w:r>
      <w:r w:rsidR="00B979AE">
        <w:rPr>
          <w:b/>
          <w:sz w:val="20"/>
          <w:szCs w:val="20"/>
        </w:rPr>
        <w:t>s</w:t>
      </w:r>
      <w:r w:rsidR="002A3F49" w:rsidRPr="00757938">
        <w:rPr>
          <w:b/>
          <w:sz w:val="20"/>
          <w:szCs w:val="20"/>
        </w:rPr>
        <w:t xml:space="preserve">-chave: </w:t>
      </w:r>
      <w:r w:rsidR="00AA54FC" w:rsidRPr="00757938">
        <w:rPr>
          <w:bCs/>
          <w:sz w:val="20"/>
          <w:szCs w:val="20"/>
        </w:rPr>
        <w:t>Psicologia do Esporte; Preparação Mental; Saúde Mental; Atletas; Intervenção Psicológica.</w:t>
      </w:r>
    </w:p>
    <w:p w14:paraId="58227085" w14:textId="77777777" w:rsidR="002A3F49" w:rsidRPr="007A5B0C" w:rsidRDefault="002A3F49" w:rsidP="002B6561">
      <w:pPr>
        <w:spacing w:line="360" w:lineRule="auto"/>
        <w:jc w:val="both"/>
        <w:rPr>
          <w:b/>
          <w:sz w:val="20"/>
          <w:szCs w:val="20"/>
        </w:rPr>
      </w:pPr>
    </w:p>
    <w:p w14:paraId="3C437F59" w14:textId="77777777" w:rsidR="00757938" w:rsidRPr="00757938" w:rsidRDefault="00760245" w:rsidP="002B6561">
      <w:pPr>
        <w:spacing w:line="360" w:lineRule="auto"/>
        <w:jc w:val="both"/>
        <w:rPr>
          <w:sz w:val="20"/>
          <w:szCs w:val="20"/>
          <w:lang w:val="en-US"/>
        </w:rPr>
      </w:pPr>
      <w:r w:rsidRPr="00757938">
        <w:rPr>
          <w:b/>
          <w:sz w:val="20"/>
          <w:szCs w:val="20"/>
          <w:lang w:val="en-US"/>
        </w:rPr>
        <w:t xml:space="preserve">Abstract: </w:t>
      </w:r>
      <w:r w:rsidR="00757938" w:rsidRPr="00757938">
        <w:rPr>
          <w:sz w:val="20"/>
          <w:szCs w:val="20"/>
          <w:lang w:val="en-US"/>
        </w:rPr>
        <w:t>Psychological preparation in high-performance sport has evolved to integrate performance and mental health. This study aimed to develop the Mental Preparation Program for Athletes (PPMA), based on the Gold Medal Profile for Sport Psychology (GMP-SP) and adapted to the Brazilian context. A theoretical-applied approach was used, including literature review, conceptual analysis of the model, and sociocultural adaptation. The program was structured into 16 sessions organized across four axes: fundamental skills, self-regulation skills, interpersonal skills, and mental health/life project. The results indicate an expansion of the model by formalizing mental health as a structural axis. Additionally, the program innovates by incorporating dimensions related to career and life planning, aligned with the perspective of sustainable performance. It is concluded that the PPMA constitutes an applicable, integrated, and culturally sensitive proposal for high-performance sport.</w:t>
      </w:r>
    </w:p>
    <w:p w14:paraId="04795BCB" w14:textId="77777777" w:rsidR="00760245" w:rsidRPr="00757938" w:rsidRDefault="00760245" w:rsidP="002B6561">
      <w:pPr>
        <w:spacing w:line="360" w:lineRule="auto"/>
        <w:jc w:val="both"/>
        <w:rPr>
          <w:sz w:val="20"/>
          <w:szCs w:val="20"/>
          <w:lang w:val="en-US"/>
        </w:rPr>
      </w:pPr>
      <w:r w:rsidRPr="00757938">
        <w:rPr>
          <w:b/>
          <w:sz w:val="20"/>
          <w:szCs w:val="20"/>
          <w:lang w:val="en-US"/>
        </w:rPr>
        <w:t>Keywords</w:t>
      </w:r>
      <w:r w:rsidRPr="00757938">
        <w:rPr>
          <w:sz w:val="20"/>
          <w:szCs w:val="20"/>
          <w:lang w:val="en-US"/>
        </w:rPr>
        <w:t>:</w:t>
      </w:r>
      <w:r w:rsidR="00757938" w:rsidRPr="00757938">
        <w:rPr>
          <w:sz w:val="20"/>
          <w:szCs w:val="20"/>
          <w:lang w:val="en-US"/>
        </w:rPr>
        <w:t xml:space="preserve"> Sport Psychology; Mental Preparation; Mental Health; Athletes; Psychological Intervention.</w:t>
      </w:r>
      <w:r w:rsidRPr="00757938">
        <w:rPr>
          <w:sz w:val="20"/>
          <w:szCs w:val="20"/>
          <w:lang w:val="en-US"/>
        </w:rPr>
        <w:t xml:space="preserve"> </w:t>
      </w:r>
    </w:p>
    <w:p w14:paraId="3EC321C9" w14:textId="77777777" w:rsidR="00760245" w:rsidRPr="00AA54FC" w:rsidRDefault="00760245" w:rsidP="002B6561">
      <w:pPr>
        <w:spacing w:line="360" w:lineRule="auto"/>
        <w:rPr>
          <w:rFonts w:eastAsia="Times New Roman"/>
          <w:b/>
          <w:color w:val="FF0000"/>
          <w:sz w:val="22"/>
          <w:lang w:val="en-US" w:eastAsia="ar-SA"/>
        </w:rPr>
      </w:pPr>
    </w:p>
    <w:p w14:paraId="5EF3E7D8" w14:textId="77777777" w:rsidR="00757938" w:rsidRPr="00757938" w:rsidRDefault="00760245" w:rsidP="002B6561">
      <w:pPr>
        <w:spacing w:line="360" w:lineRule="auto"/>
        <w:jc w:val="both"/>
        <w:rPr>
          <w:sz w:val="20"/>
          <w:szCs w:val="20"/>
          <w:lang w:val="es-ES_tradnl"/>
        </w:rPr>
      </w:pPr>
      <w:r w:rsidRPr="00757938">
        <w:rPr>
          <w:b/>
          <w:sz w:val="20"/>
          <w:szCs w:val="20"/>
          <w:lang w:val="es-ES_tradnl"/>
        </w:rPr>
        <w:t xml:space="preserve">Resumen: </w:t>
      </w:r>
      <w:r w:rsidR="00757938" w:rsidRPr="00757938">
        <w:rPr>
          <w:sz w:val="20"/>
          <w:szCs w:val="20"/>
          <w:lang w:val="es-ES_tradnl"/>
        </w:rPr>
        <w:t>La preparación psicológica en el deporte de alto rendimiento ha evolucionado hacia la integración del desempeño y la salud mental. Este estudio tuvo como objetivo desarrollar el Programa de Preparación Mental para Atletas (PPMA), basado en el modelo Gold Medal Profile for Sport Psychology (GMP-SP) y adaptado al contexto brasileño. Se utilizó un enfoque teórico-aplicado, con revisión de la literatura, análisis conceptual y adecuación sociocultural. El programa se estructuró en 16 sesiones distribuidas en cuatro ejes: habilidades fundamentales, autorregulación, habilidades interpersonales y salud mental/proyecto de vida. Los resultados evidencian la formalización de la salud mental como eje estructurante. Además, el programa incorpora dimensiones de carrera y proyecto de vida, en consonancia con el rendimiento sostenible. Se concluye que el PPMA es una propuesta aplicable, integrada y culturalmente sensible.</w:t>
      </w:r>
    </w:p>
    <w:p w14:paraId="4E1242C7" w14:textId="77777777" w:rsidR="00757938" w:rsidRPr="00757938" w:rsidRDefault="00760245" w:rsidP="002B6561">
      <w:pPr>
        <w:spacing w:line="360" w:lineRule="auto"/>
        <w:jc w:val="both"/>
        <w:rPr>
          <w:sz w:val="20"/>
          <w:szCs w:val="20"/>
          <w:lang w:val="es-ES_tradnl"/>
        </w:rPr>
      </w:pPr>
      <w:r w:rsidRPr="00757938">
        <w:rPr>
          <w:b/>
          <w:sz w:val="20"/>
          <w:szCs w:val="20"/>
          <w:lang w:val="es-ES_tradnl"/>
        </w:rPr>
        <w:t>Palabras clave</w:t>
      </w:r>
      <w:r w:rsidRPr="00757938">
        <w:rPr>
          <w:sz w:val="20"/>
          <w:szCs w:val="20"/>
          <w:lang w:val="es-ES_tradnl"/>
        </w:rPr>
        <w:t xml:space="preserve">: </w:t>
      </w:r>
      <w:r w:rsidR="00757938" w:rsidRPr="00757938">
        <w:rPr>
          <w:sz w:val="20"/>
          <w:szCs w:val="20"/>
          <w:lang w:val="es-ES_tradnl"/>
        </w:rPr>
        <w:t>Psicología del Deporte; Preparación Mental; Salud Mental; Atletas; Intervención Psicológica.</w:t>
      </w:r>
    </w:p>
    <w:p w14:paraId="2D98A90E" w14:textId="77777777" w:rsidR="00757938" w:rsidRDefault="00757938" w:rsidP="002B6561">
      <w:pPr>
        <w:spacing w:line="360" w:lineRule="auto"/>
        <w:jc w:val="both"/>
        <w:rPr>
          <w:color w:val="FF0000"/>
          <w:sz w:val="20"/>
          <w:szCs w:val="20"/>
          <w:lang w:val="es-ES_tradnl"/>
        </w:rPr>
      </w:pPr>
    </w:p>
    <w:p w14:paraId="549A52FB" w14:textId="77777777" w:rsidR="002A3F49" w:rsidRPr="007A5B0C" w:rsidRDefault="002A3F49" w:rsidP="002B6561">
      <w:pPr>
        <w:spacing w:line="360" w:lineRule="auto"/>
        <w:jc w:val="both"/>
        <w:rPr>
          <w:rFonts w:eastAsia="Times New Roman"/>
          <w:b/>
          <w:sz w:val="22"/>
          <w:lang w:eastAsia="ar-SA"/>
        </w:rPr>
      </w:pPr>
      <w:r w:rsidRPr="007A5B0C">
        <w:rPr>
          <w:rFonts w:eastAsia="Times New Roman"/>
          <w:b/>
          <w:sz w:val="22"/>
          <w:lang w:eastAsia="ar-SA"/>
        </w:rPr>
        <w:t xml:space="preserve">1 Introdução </w:t>
      </w:r>
    </w:p>
    <w:p w14:paraId="3F6E394E" w14:textId="77777777" w:rsidR="00AA54FC" w:rsidRDefault="00AA54FC" w:rsidP="002B6561">
      <w:pPr>
        <w:spacing w:line="360" w:lineRule="auto"/>
        <w:ind w:firstLine="284"/>
        <w:jc w:val="both"/>
        <w:rPr>
          <w:rFonts w:eastAsia="Times New Roman"/>
          <w:sz w:val="22"/>
          <w:lang w:eastAsia="ar-SA"/>
        </w:rPr>
      </w:pPr>
      <w:r w:rsidRPr="00AA54FC">
        <w:rPr>
          <w:rFonts w:eastAsia="Times New Roman"/>
          <w:sz w:val="22"/>
          <w:lang w:eastAsia="ar-SA"/>
        </w:rPr>
        <w:t xml:space="preserve">A preparação psicológica de atletas de alto rendimento tem sido amplamente reconhecida como elemento central para a performance sustentável e o bem-estar no esporte atual (Fernandes, 2025; Marques &amp; Markunas, 2019; Wolff, 2015). Em cenários competitivos cada vez mais complexos, atletas enfrentam demandas emocionais, cognitivas e relacionais que exigem intervenções sistematizadas e baseadas em evidências, capazes de fortalecer habilidades psicológicas, promover resiliência e favorecer adaptações diante de pressões e adversidades (Durand-Bush et al., 2022; Weinberg &amp; Gould, 2017). </w:t>
      </w:r>
    </w:p>
    <w:p w14:paraId="0299422D" w14:textId="77777777" w:rsidR="00AA54FC" w:rsidRDefault="00AA54FC" w:rsidP="002B6561">
      <w:pPr>
        <w:spacing w:line="360" w:lineRule="auto"/>
        <w:ind w:firstLine="284"/>
        <w:jc w:val="both"/>
        <w:rPr>
          <w:rFonts w:eastAsia="Times New Roman"/>
          <w:sz w:val="22"/>
          <w:lang w:eastAsia="ar-SA"/>
        </w:rPr>
      </w:pPr>
      <w:r w:rsidRPr="00AA54FC">
        <w:rPr>
          <w:rFonts w:eastAsia="Times New Roman"/>
          <w:sz w:val="22"/>
          <w:lang w:eastAsia="ar-SA"/>
        </w:rPr>
        <w:t>Embora a literatura clássica da Psicologia do Esporte</w:t>
      </w:r>
      <w:r w:rsidR="00B979AE">
        <w:rPr>
          <w:rFonts w:eastAsia="Times New Roman"/>
          <w:sz w:val="22"/>
          <w:lang w:eastAsia="ar-SA"/>
        </w:rPr>
        <w:t>,</w:t>
      </w:r>
      <w:r w:rsidRPr="00AA54FC">
        <w:rPr>
          <w:rFonts w:eastAsia="Times New Roman"/>
          <w:sz w:val="22"/>
          <w:lang w:eastAsia="ar-SA"/>
        </w:rPr>
        <w:t xml:space="preserve"> como os modelos de Hardy, Jones e Gould (2007), Vealey (2007) e a síntese apresentada por Weinberg e Gould (2017)</w:t>
      </w:r>
      <w:r w:rsidR="00B979AE">
        <w:rPr>
          <w:rFonts w:eastAsia="Times New Roman"/>
          <w:sz w:val="22"/>
          <w:lang w:eastAsia="ar-SA"/>
        </w:rPr>
        <w:t>,</w:t>
      </w:r>
      <w:r w:rsidRPr="00AA54FC">
        <w:rPr>
          <w:rFonts w:eastAsia="Times New Roman"/>
          <w:sz w:val="22"/>
          <w:lang w:eastAsia="ar-SA"/>
        </w:rPr>
        <w:t xml:space="preserve"> tenham contribuído de forma significativa para a compreensão e o treinamento das habilidades psicológicas, muitos deles focalizam prioritariamente a otimização da performance imediata. Frequentemente, esses referenciais priorizam a manipulação de estados psicológicos para o </w:t>
      </w:r>
      <w:r w:rsidRPr="00AA54FC">
        <w:rPr>
          <w:rFonts w:eastAsia="Times New Roman"/>
          <w:sz w:val="22"/>
          <w:lang w:eastAsia="ar-SA"/>
        </w:rPr>
        <w:lastRenderedPageBreak/>
        <w:t>rendimento, sem integrar, de maneira plenamente estruturada, aspectos relacionados à saúde mental, ao bem-estar e à sustentabilidade das carreiras esportivas.</w:t>
      </w:r>
    </w:p>
    <w:p w14:paraId="4C8C6DD9" w14:textId="77777777" w:rsidR="00AA54FC" w:rsidRDefault="00AA54FC" w:rsidP="002B6561">
      <w:pPr>
        <w:spacing w:line="360" w:lineRule="auto"/>
        <w:ind w:firstLine="284"/>
        <w:jc w:val="both"/>
        <w:rPr>
          <w:rFonts w:eastAsia="Times New Roman"/>
          <w:sz w:val="22"/>
          <w:lang w:eastAsia="ar-SA"/>
        </w:rPr>
      </w:pPr>
      <w:r w:rsidRPr="00AA54FC">
        <w:rPr>
          <w:rFonts w:eastAsia="Times New Roman"/>
          <w:sz w:val="22"/>
          <w:lang w:eastAsia="ar-SA"/>
        </w:rPr>
        <w:t xml:space="preserve">Diante desse cenário, marcado pelo crescente reconhecimento internacional sobre os impactos do estresse crônico, das pressões sistêmicas e das demandas psicossociais no esporte de elite (Reardon et al., 2019), surge a necessidade de modelos teóricos que busquem integrar excelência esportiva e saúde mental (Rice et al., 2016). Entre os avanços científicos da área, destaca-se o </w:t>
      </w:r>
      <w:r w:rsidRPr="00AA54FC">
        <w:rPr>
          <w:rFonts w:eastAsia="Times New Roman"/>
          <w:i/>
          <w:iCs/>
          <w:sz w:val="22"/>
          <w:lang w:eastAsia="ar-SA"/>
        </w:rPr>
        <w:t>Gold Medal Profile for Sport Psychology</w:t>
      </w:r>
      <w:r w:rsidRPr="00AA54FC">
        <w:rPr>
          <w:rFonts w:eastAsia="Times New Roman"/>
          <w:sz w:val="22"/>
          <w:lang w:eastAsia="ar-SA"/>
        </w:rPr>
        <w:t xml:space="preserve"> (GMP-SP), desenvolvido por Durand-Bush et al. (2022) no contexto esportivo canadense. Com o objetivo de identificar os componentes psicológicos essenciais que sustentam performances consistentes ao longo de ciclos olímpicos, os autores conduziram um processo metodológico robusto e participativo, que combinou entrevistas com atletas olímpicos, grupos focais com treinadores, consultas a psicólogos do esporte e painéis de consenso estruturados. </w:t>
      </w:r>
    </w:p>
    <w:p w14:paraId="425EEBD6" w14:textId="77777777" w:rsidR="00AA54FC" w:rsidRDefault="00AA54FC" w:rsidP="002B6561">
      <w:pPr>
        <w:spacing w:line="360" w:lineRule="auto"/>
        <w:ind w:firstLine="284"/>
        <w:jc w:val="both"/>
        <w:rPr>
          <w:rFonts w:eastAsia="Times New Roman"/>
          <w:sz w:val="22"/>
          <w:lang w:eastAsia="ar-SA"/>
        </w:rPr>
      </w:pPr>
      <w:r w:rsidRPr="00AA54FC">
        <w:rPr>
          <w:rFonts w:eastAsia="Times New Roman"/>
          <w:sz w:val="22"/>
          <w:lang w:eastAsia="ar-SA"/>
        </w:rPr>
        <w:t>Esse procedimento investigativo foi guiado por questões centrais, tais como: Quais habilidades psicológicas caracterizam atletas capazes de performar sob pressão? Como essas competências se desenvolvem ao longo do tempo? De que modo podem ser organizadas em um modelo aplicável a programas de preparação mental em larga escala? A partir dessas análises, o GMP-SP consolidou um quadro teórico abrangente e orientado para a excelência sustentável, tornando-se uma referência estratégica para intervenções psicológicas no esporte de alto rendimento contemporâneo.</w:t>
      </w:r>
    </w:p>
    <w:p w14:paraId="4E8A3E98" w14:textId="77777777" w:rsidR="00AA54FC" w:rsidRDefault="00AA54FC" w:rsidP="002B6561">
      <w:pPr>
        <w:spacing w:line="360" w:lineRule="auto"/>
        <w:ind w:firstLine="284"/>
        <w:jc w:val="both"/>
        <w:rPr>
          <w:rFonts w:eastAsia="Times New Roman"/>
          <w:sz w:val="22"/>
          <w:lang w:eastAsia="ar-SA"/>
        </w:rPr>
      </w:pPr>
      <w:r w:rsidRPr="00AA54FC">
        <w:rPr>
          <w:rFonts w:eastAsia="Times New Roman"/>
          <w:sz w:val="22"/>
          <w:lang w:eastAsia="ar-SA"/>
        </w:rPr>
        <w:t xml:space="preserve">A síntese das evidências resultou em uma estrutura metafórica representada pelo “modelo de pódio”, composto por três eixos centrais: Ouro, Prata e Bronze. O primeiro deles, “Ouro”, reúne os elementos considerados nucleares para sustentar a excelência esportiva, contemplando as habilidades psicológicas fundamentais de motivação, confiança e resiliência. Tais elementos se articulam com modelos e teorias psicológicas amplamente consolidadas, como a de autoeficácia proposta por Bandura (1997) e as discussões sobre força mental propostas por Clough et al. (2002). São competências que caracterizam atletas capazes de manter engajamento, consistência e capacidade adaptativa mesmo em ambientes marcados por pressão extrema (Vealey &amp; Chase, 2016). </w:t>
      </w:r>
    </w:p>
    <w:p w14:paraId="28901C7F" w14:textId="77777777" w:rsidR="00AA54FC" w:rsidRDefault="00AA54FC" w:rsidP="002B6561">
      <w:pPr>
        <w:spacing w:line="360" w:lineRule="auto"/>
        <w:ind w:firstLine="284"/>
        <w:jc w:val="both"/>
        <w:rPr>
          <w:rFonts w:eastAsia="Times New Roman"/>
          <w:sz w:val="22"/>
          <w:lang w:eastAsia="ar-SA"/>
        </w:rPr>
      </w:pPr>
      <w:r w:rsidRPr="00AA54FC">
        <w:rPr>
          <w:rFonts w:eastAsia="Times New Roman"/>
          <w:sz w:val="22"/>
          <w:lang w:eastAsia="ar-SA"/>
        </w:rPr>
        <w:t>O segundo eixo, “Prata”, diz respeito às competências que permitem ao atleta monitorar, ajustar e controlar seus estados internos de maneira contínua. Envolve os processos de autorregulação, incluindo autoconhecimento, gestão de estresse, regulação emocional e do nível de ativação, e controle atencional. A categoria dialoga com modelos clássicos de autorregulação, como os de Kirschenbaum (1984) e Zimmerman (2000), que descrevem o desenvolvimento autorregulatório como um ciclo dinâmico de planejamento, monitoramento e ajuste comportamental. No contexto esportivo, tais competências são essenciais para a prontidão psicológica e para a capacidade de execução técnica sob pressão.</w:t>
      </w:r>
    </w:p>
    <w:p w14:paraId="3BA1EE5B" w14:textId="77777777" w:rsidR="00AA54FC" w:rsidRDefault="00AA54FC" w:rsidP="002B6561">
      <w:pPr>
        <w:spacing w:line="360" w:lineRule="auto"/>
        <w:ind w:firstLine="284"/>
        <w:jc w:val="both"/>
        <w:rPr>
          <w:rFonts w:eastAsia="Times New Roman"/>
          <w:sz w:val="22"/>
          <w:lang w:eastAsia="ar-SA"/>
        </w:rPr>
      </w:pPr>
      <w:r w:rsidRPr="00AA54FC">
        <w:rPr>
          <w:rFonts w:eastAsia="Times New Roman"/>
          <w:sz w:val="22"/>
          <w:lang w:eastAsia="ar-SA"/>
        </w:rPr>
        <w:t xml:space="preserve">O terceiro eixo, “Bronze”, refere-se às habilidades interpessoais, contemplando as </w:t>
      </w:r>
      <w:r w:rsidRPr="00AA54FC">
        <w:rPr>
          <w:rFonts w:eastAsia="Times New Roman"/>
          <w:sz w:val="22"/>
          <w:lang w:eastAsia="ar-SA"/>
        </w:rPr>
        <w:lastRenderedPageBreak/>
        <w:t>competências necessárias para o funcionamento eficaz em contextos sociais e coletivos. Inclui a relação treinador-atleta, a liderança, o trabalho em equipe e a habilidade de comunicação. Esse eixo se articula com a literatura de relações interpessoais no esporte, desde a Multidimensional Model of Leadership (Chelladurai, 1990) até os modelos de qualidade da relação treinador-atleta, como o 3+1 Cs de Jowett (2007). Ao reconhecer a dimensão relacional da performance, o GMP-SP enfatiza que o alto rendimento depende não apenas da preparação individual, mas de interações sociais saudáveis e produtivas.</w:t>
      </w:r>
    </w:p>
    <w:p w14:paraId="4E41F811" w14:textId="77777777" w:rsidR="00AA54FC" w:rsidRDefault="00AA54FC" w:rsidP="002B6561">
      <w:pPr>
        <w:spacing w:line="360" w:lineRule="auto"/>
        <w:ind w:firstLine="284"/>
        <w:jc w:val="both"/>
        <w:rPr>
          <w:rFonts w:eastAsia="Times New Roman"/>
          <w:sz w:val="22"/>
          <w:lang w:eastAsia="ar-SA"/>
        </w:rPr>
      </w:pPr>
      <w:r w:rsidRPr="00AA54FC">
        <w:rPr>
          <w:rFonts w:eastAsia="Times New Roman"/>
          <w:sz w:val="22"/>
          <w:lang w:eastAsia="ar-SA"/>
        </w:rPr>
        <w:t xml:space="preserve">Embora o GMP-SP seja estruturado formalmente em três eixos, os autores acrescentam o componente adicional da Saúde Mental, descrito como uma camada transversal, a qual não se constitui como um eixo independente, mas opera como fundamento que permeia e sustenta todas as outras dimensões do modelo de pódio. Envolve aspectos como manejo do estresse crônico, práticas de autocuidado, equilíbrio entre demandas esportivas e vida pessoal, acesso a redes de apoio e estratégias preventivas em saúde psicológica (Colagrai et al., 2022; Gouttebarge et al., 2019). </w:t>
      </w:r>
    </w:p>
    <w:p w14:paraId="53D68A4D" w14:textId="77777777" w:rsidR="00AA54FC" w:rsidRDefault="00AA54FC" w:rsidP="002B6561">
      <w:pPr>
        <w:spacing w:line="360" w:lineRule="auto"/>
        <w:ind w:firstLine="284"/>
        <w:jc w:val="both"/>
        <w:rPr>
          <w:rFonts w:eastAsia="Times New Roman"/>
          <w:sz w:val="22"/>
          <w:lang w:eastAsia="ar-SA"/>
        </w:rPr>
      </w:pPr>
      <w:r w:rsidRPr="00AA54FC">
        <w:rPr>
          <w:rFonts w:eastAsia="Times New Roman"/>
          <w:sz w:val="22"/>
          <w:lang w:eastAsia="ar-SA"/>
        </w:rPr>
        <w:t xml:space="preserve">A inserção explícita da saúde mental como fator estruturante distingue o GMP-SP de modelos clássicos da Psicologia do Esporte, como os programas tradicionais de Treinamento de Habilidades Psicológicas (THP) (Balague, 2000; Greenspan &amp; Feltz, 1989; Weinberg &amp; Gould, 2017). Embora robustos para o seu tempo, não tratavam a saúde mental como dimensão fundamental da excelência, e sim como uma variável periférica ou secundária. </w:t>
      </w:r>
    </w:p>
    <w:p w14:paraId="68849BEA" w14:textId="77777777" w:rsidR="00AA54FC" w:rsidRDefault="00AA54FC" w:rsidP="002B6561">
      <w:pPr>
        <w:spacing w:line="360" w:lineRule="auto"/>
        <w:ind w:firstLine="284"/>
        <w:jc w:val="both"/>
        <w:rPr>
          <w:rFonts w:eastAsia="Times New Roman"/>
          <w:sz w:val="22"/>
          <w:lang w:eastAsia="ar-SA"/>
        </w:rPr>
      </w:pPr>
      <w:r w:rsidRPr="00AA54FC">
        <w:rPr>
          <w:rFonts w:eastAsia="Times New Roman"/>
          <w:sz w:val="22"/>
          <w:lang w:eastAsia="ar-SA"/>
        </w:rPr>
        <w:t>O GMP-SP, nesse sentido, avança como um modelo teórico contemporâneo ao propor que não é possível sustentar desempenho de alto nível a longo prazo sem integrar o cuidado psicológico e o bem-estar. Essa inclusão se alinha às transformações do esporte global, às evidências de sofrimento psicológico em atletas de elite e às recomendações internacionais voltadas ao cuidado integral da pessoa atleta. Em especial, os conjuntos de diretrizes sintetizadas por Henriksen et al. (2020) e Reardon et al. (2019), que reconhecem a saúde mental como componente inseparável da performance, recomendam intervenções preventivas e integradas, e orientam a incorporação de práticas de cuidado multidisciplinar em todos os níveis do sistema esportivo.</w:t>
      </w:r>
    </w:p>
    <w:p w14:paraId="425E4815" w14:textId="77777777" w:rsidR="00AA54FC" w:rsidRDefault="00AA54FC" w:rsidP="002B6561">
      <w:pPr>
        <w:spacing w:line="360" w:lineRule="auto"/>
        <w:ind w:firstLine="284"/>
        <w:jc w:val="both"/>
        <w:rPr>
          <w:rFonts w:eastAsia="Times New Roman"/>
          <w:sz w:val="22"/>
          <w:lang w:eastAsia="ar-SA"/>
        </w:rPr>
      </w:pPr>
      <w:r w:rsidRPr="00AA54FC">
        <w:rPr>
          <w:rFonts w:eastAsia="Times New Roman"/>
          <w:sz w:val="22"/>
          <w:lang w:eastAsia="ar-SA"/>
        </w:rPr>
        <w:t xml:space="preserve">O modelo canadense, então, representa uma convergência entre o conhecimento histórico da área e a necessidade emergente de compreender atletas como sujeitos integrais, expostos a múltiplas pressões e a contextos que exigem tanto competências psicológicas quanto cuidado específico com a saúde mental. É nesse horizonte que se insere a criação do Programa de Preparação Mental para Atletas (PPMA). </w:t>
      </w:r>
    </w:p>
    <w:p w14:paraId="360032EF" w14:textId="77777777" w:rsidR="00AA54FC" w:rsidRDefault="00AA54FC" w:rsidP="002B6561">
      <w:pPr>
        <w:spacing w:line="360" w:lineRule="auto"/>
        <w:ind w:firstLine="284"/>
        <w:jc w:val="both"/>
        <w:rPr>
          <w:rFonts w:eastAsia="Times New Roman"/>
          <w:sz w:val="22"/>
          <w:lang w:eastAsia="ar-SA"/>
        </w:rPr>
      </w:pPr>
      <w:r w:rsidRPr="00AA54FC">
        <w:rPr>
          <w:rFonts w:eastAsia="Times New Roman"/>
          <w:sz w:val="22"/>
          <w:lang w:eastAsia="ar-SA"/>
        </w:rPr>
        <w:t xml:space="preserve">Inspirado no GMP-SP e adaptado ao contexto sociocultural brasileiro, o PPMA traduz os três eixos centrais do modelo canadense, ao mesmo tempo em que expande e formaliza a camada de saúde mental, avançando na sua categorização como o quarto eixo da estrutura, e integrando elementos como autocuidado, educação financeira, planejamento de carreira e satisfação com a vida. Essa ampliação também responde às particularidades psicológicas, sociais e competitivas </w:t>
      </w:r>
      <w:r w:rsidRPr="00AA54FC">
        <w:rPr>
          <w:rFonts w:eastAsia="Times New Roman"/>
          <w:sz w:val="22"/>
          <w:lang w:eastAsia="ar-SA"/>
        </w:rPr>
        <w:lastRenderedPageBreak/>
        <w:t>do esporte de alto rendimento no Brasil e reforça a concepção de performance sustentável como um processo que integra habilidades fundamentais, autorregulação, competências interpessoais e estratégias de cuidado psicológico e de bem-estar geral.</w:t>
      </w:r>
    </w:p>
    <w:p w14:paraId="40AEC47B" w14:textId="77777777" w:rsidR="002A3F49" w:rsidRDefault="00AA54FC" w:rsidP="002B6561">
      <w:pPr>
        <w:spacing w:line="360" w:lineRule="auto"/>
        <w:ind w:firstLine="284"/>
        <w:jc w:val="both"/>
        <w:rPr>
          <w:rFonts w:eastAsia="Times New Roman"/>
          <w:sz w:val="22"/>
          <w:lang w:eastAsia="ar-SA"/>
        </w:rPr>
      </w:pPr>
      <w:r w:rsidRPr="00AA54FC">
        <w:rPr>
          <w:rFonts w:eastAsia="Times New Roman"/>
          <w:sz w:val="22"/>
          <w:lang w:eastAsia="ar-SA"/>
        </w:rPr>
        <w:t>Dessa forma, o objetivo deste artigo é apresentar os fundamentos teórico-metodológicos, o desenvolvimento e a estrutura do Programa de Preparação Mental para Atletas (PPMA), detalhando seu processo de construção a partir do Modelo Perfil Medalha de Ouro (GMP-SP). Ainda, busca estabelecer uma estrutura teórico-prática que pode ser aplicada ao contexto esportivo brasileiro, respeitando as particularidades culturais e as demandas específicas de atletas de alto rendimento nacional, visando contribuir para o campo da Psicologia do Esporte aplicada.</w:t>
      </w:r>
    </w:p>
    <w:p w14:paraId="0BB46B5E" w14:textId="77777777" w:rsidR="00E97DE6" w:rsidRPr="00AA54FC" w:rsidRDefault="00E97DE6" w:rsidP="002B6561">
      <w:pPr>
        <w:spacing w:line="360" w:lineRule="auto"/>
        <w:jc w:val="both"/>
        <w:rPr>
          <w:rFonts w:eastAsia="Times New Roman"/>
          <w:sz w:val="22"/>
          <w:lang w:eastAsia="ar-SA"/>
        </w:rPr>
      </w:pPr>
    </w:p>
    <w:p w14:paraId="2387AFF8" w14:textId="77777777" w:rsidR="00E97DE6" w:rsidRPr="00E97DE6" w:rsidRDefault="002A3F49" w:rsidP="002B6561">
      <w:pPr>
        <w:spacing w:line="360" w:lineRule="auto"/>
        <w:jc w:val="both"/>
        <w:rPr>
          <w:rFonts w:eastAsia="Times New Roman"/>
          <w:b/>
          <w:sz w:val="22"/>
          <w:lang w:eastAsia="ar-SA"/>
        </w:rPr>
      </w:pPr>
      <w:r w:rsidRPr="007A5B0C">
        <w:rPr>
          <w:rFonts w:eastAsia="Times New Roman"/>
          <w:b/>
          <w:sz w:val="22"/>
          <w:lang w:eastAsia="ar-SA"/>
        </w:rPr>
        <w:t xml:space="preserve">2 </w:t>
      </w:r>
      <w:r w:rsidR="00E97DE6">
        <w:rPr>
          <w:rFonts w:eastAsia="Times New Roman"/>
          <w:b/>
          <w:sz w:val="22"/>
          <w:lang w:eastAsia="ar-SA"/>
        </w:rPr>
        <w:t>Método</w:t>
      </w:r>
    </w:p>
    <w:p w14:paraId="27768720" w14:textId="77777777" w:rsidR="00E97DE6" w:rsidRPr="00E97DE6" w:rsidRDefault="00E97DE6" w:rsidP="002B6561">
      <w:pPr>
        <w:pStyle w:val="WW-Recuodecorpodetexto2"/>
        <w:rPr>
          <w:color w:val="auto"/>
        </w:rPr>
      </w:pPr>
      <w:r w:rsidRPr="00E97DE6">
        <w:rPr>
          <w:color w:val="auto"/>
        </w:rPr>
        <w:t>O desenvolvimento do PPMA foi realizado por meio da abordagem teórico-aplicada, baseada na análise do GMP-SP (Durand-Bush et al., 2022) e sua adaptação para a realidade esportiva brasileira. O processo metodológico foi conduzido em três etapas articuladas: (</w:t>
      </w:r>
      <w:r w:rsidR="002B6561">
        <w:rPr>
          <w:color w:val="auto"/>
        </w:rPr>
        <w:t>a</w:t>
      </w:r>
      <w:r w:rsidRPr="00E97DE6">
        <w:rPr>
          <w:color w:val="auto"/>
        </w:rPr>
        <w:t>) mapeamento detalhado dos componentes centrais do modelo original; (</w:t>
      </w:r>
      <w:r w:rsidR="002B6561">
        <w:rPr>
          <w:color w:val="auto"/>
        </w:rPr>
        <w:t>b</w:t>
      </w:r>
      <w:r w:rsidRPr="00E97DE6">
        <w:rPr>
          <w:color w:val="auto"/>
        </w:rPr>
        <w:t>) adaptação cultural e contextual ao esporte de alto rendimento brasileiro; e (</w:t>
      </w:r>
      <w:r w:rsidR="002B6561">
        <w:rPr>
          <w:color w:val="auto"/>
        </w:rPr>
        <w:t>c</w:t>
      </w:r>
      <w:r w:rsidRPr="00E97DE6">
        <w:rPr>
          <w:color w:val="auto"/>
        </w:rPr>
        <w:t>) construção da estrutura programática, na forma de um protocolo estruturado de dezesseis encontros, distribuídos em quatro eixos estruturantes.</w:t>
      </w:r>
    </w:p>
    <w:p w14:paraId="092A9BCA" w14:textId="77777777" w:rsidR="00E97DE6" w:rsidRPr="00E97DE6" w:rsidRDefault="002B6561" w:rsidP="002B6561">
      <w:pPr>
        <w:pStyle w:val="WW-Recuodecorpodetexto2"/>
        <w:rPr>
          <w:b/>
          <w:bCs/>
          <w:color w:val="auto"/>
        </w:rPr>
      </w:pPr>
      <w:r>
        <w:rPr>
          <w:color w:val="auto"/>
        </w:rPr>
        <w:t>A</w:t>
      </w:r>
      <w:r w:rsidR="00E97DE6" w:rsidRPr="00E97DE6">
        <w:rPr>
          <w:color w:val="auto"/>
        </w:rPr>
        <w:t>.</w:t>
      </w:r>
      <w:r w:rsidR="00E97DE6" w:rsidRPr="00E97DE6">
        <w:rPr>
          <w:color w:val="auto"/>
        </w:rPr>
        <w:tab/>
      </w:r>
      <w:r w:rsidR="00E97DE6" w:rsidRPr="00E97DE6">
        <w:rPr>
          <w:b/>
          <w:bCs/>
          <w:color w:val="auto"/>
        </w:rPr>
        <w:t>Mapeamento detalhado dos componentes centrais do modelo GMP-SP</w:t>
      </w:r>
    </w:p>
    <w:p w14:paraId="42A73A99" w14:textId="77777777" w:rsidR="00E97DE6" w:rsidRPr="00E97DE6" w:rsidRDefault="00E97DE6" w:rsidP="002B6561">
      <w:pPr>
        <w:pStyle w:val="WW-Recuodecorpodetexto2"/>
        <w:rPr>
          <w:color w:val="auto"/>
        </w:rPr>
      </w:pPr>
      <w:r w:rsidRPr="00E97DE6">
        <w:rPr>
          <w:color w:val="auto"/>
        </w:rPr>
        <w:t>Esta primeira etapa consistiu na revisão aprofundada da estrutura teórica do GMP-SP, originalmente constituída em três eixos: habilidades fundamentais, habilidades de autorregulação e habilidades interpessoais, sustentados por uma camada transversal de saúde mental. O mapeamento contemplou os construtos centrais, os fundamentos teóricos associados e as formas de aplicação prática desses elementos em diferentes modalidades esportivas. Essa análise permitiu compreender a lógica interna do modelo, bem como os pressupostos mais atuais que orientam intervenções psicológicas voltadas à performance sustentável.</w:t>
      </w:r>
    </w:p>
    <w:p w14:paraId="247FCB7D" w14:textId="77777777" w:rsidR="00E97DE6" w:rsidRPr="00E97DE6" w:rsidRDefault="002B6561" w:rsidP="002B6561">
      <w:pPr>
        <w:pStyle w:val="WW-Recuodecorpodetexto2"/>
        <w:rPr>
          <w:b/>
          <w:bCs/>
          <w:color w:val="auto"/>
        </w:rPr>
      </w:pPr>
      <w:r>
        <w:rPr>
          <w:color w:val="auto"/>
        </w:rPr>
        <w:t>B</w:t>
      </w:r>
      <w:r w:rsidR="00E97DE6" w:rsidRPr="00E97DE6">
        <w:rPr>
          <w:color w:val="auto"/>
        </w:rPr>
        <w:t>.</w:t>
      </w:r>
      <w:r w:rsidR="00E97DE6" w:rsidRPr="00E97DE6">
        <w:rPr>
          <w:color w:val="auto"/>
        </w:rPr>
        <w:tab/>
      </w:r>
      <w:r w:rsidR="00E97DE6" w:rsidRPr="00E97DE6">
        <w:rPr>
          <w:b/>
          <w:bCs/>
          <w:color w:val="auto"/>
        </w:rPr>
        <w:t>Adaptação cultural e contextual ao contexto brasileiro</w:t>
      </w:r>
    </w:p>
    <w:p w14:paraId="55AE2DF6" w14:textId="77777777" w:rsidR="00E97DE6" w:rsidRPr="00E97DE6" w:rsidRDefault="00E97DE6" w:rsidP="002B6561">
      <w:pPr>
        <w:pStyle w:val="WW-Recuodecorpodetexto2"/>
        <w:rPr>
          <w:color w:val="auto"/>
        </w:rPr>
      </w:pPr>
      <w:r w:rsidRPr="00E97DE6">
        <w:rPr>
          <w:color w:val="auto"/>
        </w:rPr>
        <w:t>A segunda etapa integrou o processo de adaptação cultural, contextual e metodológica do modelo ao cenário brasileiro, seguindo as diretrizes internacionais de prática culturalmente adequada (Schinke et al., 2016; Ryba &amp; Stambulova, 2013), estudos nacionais sobre especificidades socioculturais do atleta brasileiro (Angelo, 2019; Rubio &amp; Melo, 2019) e preparação psicológica mais ampla do que o ensino de estratégias para performance (Marques &amp; Markunas, 2019). Assim, foram considerados fatores característicos do alto rendimento nacional, como pressões organizacionais, estresse competitivo elevado, burnout, instabilidade estrutural, desafios psicossociais recorrentes e conciliação com demais áreas da vida (COB, 2022; Colagrai et al., 2022; Fernandes, 2025; Fiochi-Marques et al., 2018; Rubio, 2025).</w:t>
      </w:r>
    </w:p>
    <w:p w14:paraId="16260F03" w14:textId="77777777" w:rsidR="00E97DE6" w:rsidRPr="00E97DE6" w:rsidRDefault="00E97DE6" w:rsidP="002B6561">
      <w:pPr>
        <w:pStyle w:val="WW-Recuodecorpodetexto2"/>
        <w:rPr>
          <w:color w:val="auto"/>
        </w:rPr>
      </w:pPr>
      <w:r w:rsidRPr="00E97DE6">
        <w:rPr>
          <w:color w:val="auto"/>
        </w:rPr>
        <w:t xml:space="preserve">Esse diagnóstico indicou a necessidade de ampliar a camada transversal de saúde mental proposta no GMP-SP, transformando-a em um quarto eixo formal no PPMA, nomeado “Saúde Mental e Projeto de Vida”, fundamentado em consensos internacionais sobre saúde mental no esporte (Henriksen et al., 2020; Reardon et al., 2019) e nos modelos contemporâneos de carreira esportiva (COB, 2022; Wylleman &amp; Reints, 2010). </w:t>
      </w:r>
    </w:p>
    <w:p w14:paraId="4D1A94FF" w14:textId="77777777" w:rsidR="00E97DE6" w:rsidRPr="00E97DE6" w:rsidRDefault="00E97DE6" w:rsidP="002B6561">
      <w:pPr>
        <w:pStyle w:val="WW-Recuodecorpodetexto2"/>
        <w:rPr>
          <w:color w:val="auto"/>
        </w:rPr>
      </w:pPr>
      <w:r w:rsidRPr="00E97DE6">
        <w:rPr>
          <w:color w:val="auto"/>
        </w:rPr>
        <w:t>Neste estudo, a saúde mental é compreendida a partir de uma perspectiva ampliada e positiva, alinhada às diretrizes contemporâneas da área, sendo definida não apenas como a ausência de transtornos mentais, mas como um estado dinâmico de bem-estar psicológico, no qual o indivíduo é capaz de reconhecer suas próprias capacidades, lidar com os estressores cotidianos, trabalhar de forma produtiva e contribuir com seu contexto (OMS, 2022). No contexto esportivo, essa definição é expandida ao incluir a habilidade de sustentar a performance ao longo do tempo, equilibrar demandas competitivas e pessoais e construir um projeto de vida coerente com valores, identidade e perspectivas futuras (Henriksen et al., 2020; Reardon et al., 2019).</w:t>
      </w:r>
    </w:p>
    <w:p w14:paraId="0FD2C93D" w14:textId="77777777" w:rsidR="00E97DE6" w:rsidRPr="00E97DE6" w:rsidRDefault="00E97DE6" w:rsidP="002B6561">
      <w:pPr>
        <w:pStyle w:val="WW-Recuodecorpodetexto2"/>
        <w:rPr>
          <w:color w:val="auto"/>
        </w:rPr>
      </w:pPr>
      <w:r w:rsidRPr="00E97DE6">
        <w:rPr>
          <w:color w:val="auto"/>
        </w:rPr>
        <w:t>Com essa reorganização, o PPMA passou a ser estruturado em quatro eixos: (1) Habilidades fundamentais; (2) Habilidades de autorregulação; (3) Habilidades interpessoais; (4) Saúde mental e projeto de vida.</w:t>
      </w:r>
    </w:p>
    <w:p w14:paraId="247EF165" w14:textId="77777777" w:rsidR="00E97DE6" w:rsidRPr="00E97DE6" w:rsidRDefault="002B6561" w:rsidP="002B6561">
      <w:pPr>
        <w:pStyle w:val="WW-Recuodecorpodetexto2"/>
        <w:rPr>
          <w:b/>
          <w:bCs/>
          <w:color w:val="auto"/>
        </w:rPr>
      </w:pPr>
      <w:r>
        <w:rPr>
          <w:color w:val="auto"/>
        </w:rPr>
        <w:t>C</w:t>
      </w:r>
      <w:r w:rsidR="00E97DE6" w:rsidRPr="00E97DE6">
        <w:rPr>
          <w:color w:val="auto"/>
        </w:rPr>
        <w:t>.</w:t>
      </w:r>
      <w:r w:rsidR="00E97DE6" w:rsidRPr="00E97DE6">
        <w:rPr>
          <w:color w:val="auto"/>
        </w:rPr>
        <w:tab/>
      </w:r>
      <w:r w:rsidR="00E97DE6" w:rsidRPr="00E97DE6">
        <w:rPr>
          <w:b/>
          <w:bCs/>
          <w:color w:val="auto"/>
        </w:rPr>
        <w:t>Construção da estrutura programática do modelo PPMA</w:t>
      </w:r>
    </w:p>
    <w:p w14:paraId="34FF6710" w14:textId="77777777" w:rsidR="00E97DE6" w:rsidRPr="00E97DE6" w:rsidRDefault="00E97DE6" w:rsidP="002B6561">
      <w:pPr>
        <w:pStyle w:val="WW-Recuodecorpodetexto2"/>
        <w:rPr>
          <w:color w:val="auto"/>
        </w:rPr>
      </w:pPr>
      <w:r w:rsidRPr="00E97DE6">
        <w:rPr>
          <w:color w:val="auto"/>
        </w:rPr>
        <w:t>A terceira etapa resultou na construção da versão final do programa de intervenção psicológica. O PPMA foi estruturado em 16 encontros temáticos, cada um com duração de aproximadamente 60 minutos, distribuídos ao longo de oito semanas consecutivas, com frequência sugerida de duas sessões por semana.</w:t>
      </w:r>
    </w:p>
    <w:p w14:paraId="4521B391" w14:textId="77777777" w:rsidR="00E97DE6" w:rsidRPr="00E97DE6" w:rsidRDefault="00E97DE6" w:rsidP="002B6561">
      <w:pPr>
        <w:pStyle w:val="WW-Recuodecorpodetexto2"/>
        <w:rPr>
          <w:color w:val="auto"/>
        </w:rPr>
      </w:pPr>
      <w:r w:rsidRPr="00E97DE6">
        <w:rPr>
          <w:color w:val="auto"/>
        </w:rPr>
        <w:t>Essa configuração foi definida a partir de dois critérios complementares: a) a necessidade de abarcar integralmente as dezesseis temáticas definidas pelos quatro eixos do PPMA, garantindo o desenvolvimento progressivo e integrado das habilidades psicológicas; e b) a revisão de literatura apresentada no Capítulo 1 desta tese, a qual evidenciou a inexistência de consenso sobre o número ideal de sessões em intervenções psicológicas no esporte, mas apontou recorrência de programas com duração aproximada de oito semanas e cerca de 16 encontros. Assim, a estrutura temporal adotada reflete tanto critérios teóricos quanto evidências empíricas disponíveis.</w:t>
      </w:r>
    </w:p>
    <w:p w14:paraId="38F2AAF3" w14:textId="77777777" w:rsidR="00E97DE6" w:rsidRDefault="00E97DE6" w:rsidP="002B6561">
      <w:pPr>
        <w:pStyle w:val="WW-Recuodecorpodetexto2"/>
        <w:rPr>
          <w:color w:val="auto"/>
        </w:rPr>
      </w:pPr>
      <w:r w:rsidRPr="00E97DE6">
        <w:rPr>
          <w:color w:val="auto"/>
        </w:rPr>
        <w:t xml:space="preserve"> A lógica de progressão dos encontros foi organizada de forma incremental e cumulativa, permitindo que cada tema sirva de base para os subsequentes. O programa inicia pelos fundamentos psicológicos essenciais associados ao desempenho consistente (Eixo Ouro), avança para o desenvolvimento das competências de autorregulação (Eixo Prata), segue para habilidades interpessoais e relacionais indispensáveis ao funcionamento esportivo (Eixo Bronze) e culmina com conteúdos relativos à saúde mental, bem-estar</w:t>
      </w:r>
      <w:r w:rsidR="00CC3572">
        <w:rPr>
          <w:color w:val="auto"/>
        </w:rPr>
        <w:t>, projetos de vida e</w:t>
      </w:r>
      <w:r w:rsidRPr="00E97DE6">
        <w:rPr>
          <w:color w:val="auto"/>
        </w:rPr>
        <w:t xml:space="preserve"> carreira (Eixo </w:t>
      </w:r>
      <w:r w:rsidR="002B6561">
        <w:rPr>
          <w:color w:val="auto"/>
        </w:rPr>
        <w:t>Diamante</w:t>
      </w:r>
      <w:r w:rsidRPr="00E97DE6">
        <w:rPr>
          <w:color w:val="auto"/>
        </w:rPr>
        <w:t>). Essa sequência foi planejada para refletir, tanto a estrutura teórica derivada do GMP-SP, quanto as necessidades específicas identificadas no contexto esportivo brasileiro.</w:t>
      </w:r>
    </w:p>
    <w:p w14:paraId="50950DFC" w14:textId="77777777" w:rsidR="00CC3572" w:rsidRPr="00E97DE6" w:rsidRDefault="00CC3572" w:rsidP="002B6561">
      <w:pPr>
        <w:pStyle w:val="WW-Recuodecorpodetexto2"/>
        <w:rPr>
          <w:color w:val="auto"/>
        </w:rPr>
      </w:pPr>
      <w:r w:rsidRPr="00CC3572">
        <w:rPr>
          <w:color w:val="auto"/>
        </w:rPr>
        <w:t>Nesse contexto, a denominação “Eixo Diamante” foi proposta de forma inovadora no PPMA, ampliando a metáfora original do modelo de pódio (ouro, prata e bronze). Enquanto os três primeiros eixos mantêm correspondência direta com a estrutura do GMP-SP, o diamante é introduzido como um elemento simbólico que transcende a lógica classificatória tradicional do pódio, representando uma dimensão de maior integração e sustentação do desenvolvimento do atleta. Esse eixo reúne conteúdos relacionados à saúde mental, ao projeto de vida e à carreira esportiva, compreendidos como fundamentos essenciais para a continuidade, longevidade e sustentabilidade da performance. Ao incorporar o “diamante” como quarto eixo, o modelo não apenas preserva a coerência com a metáfora original, mas também a expande, sinalizando que o alto rendimento contemporâneo exige mais do que excelência competitiva: requer estrutura psicológica, planejamento de vida e condições para o desenvolvimento integral do atleta.</w:t>
      </w:r>
    </w:p>
    <w:p w14:paraId="014650FF" w14:textId="77777777" w:rsidR="00B979AE" w:rsidRDefault="00CC3572" w:rsidP="002B6561">
      <w:pPr>
        <w:pStyle w:val="WW-Recuodecorpodetexto2"/>
        <w:rPr>
          <w:color w:val="auto"/>
        </w:rPr>
      </w:pPr>
      <w:r>
        <w:rPr>
          <w:color w:val="auto"/>
        </w:rPr>
        <w:t>Ademais, v</w:t>
      </w:r>
      <w:r w:rsidR="00E97DE6" w:rsidRPr="00E97DE6">
        <w:rPr>
          <w:color w:val="auto"/>
        </w:rPr>
        <w:t xml:space="preserve">ale destacar que a organização dos eixos em referência ao pódio (ouro, prata e bronze), neste estudo, não implica uma concepção hierárquica ou de superioridade entre os conteúdos abordados. A metáfora do pódio é utilizada como recurso didático e simbólico, visando facilitar a compreensão da progressão do programa e sua lógica de desenvolvimento. </w:t>
      </w:r>
      <w:r w:rsidR="00B979AE">
        <w:rPr>
          <w:color w:val="auto"/>
        </w:rPr>
        <w:t>Portanto</w:t>
      </w:r>
      <w:r w:rsidR="00E97DE6" w:rsidRPr="00E97DE6">
        <w:rPr>
          <w:color w:val="auto"/>
        </w:rPr>
        <w:t>, os diferentes eixos devem ser compreendidos como dimensões complementares e interdependentes do processo formativo e do desenvolvimento integral do atleta.</w:t>
      </w:r>
    </w:p>
    <w:p w14:paraId="019DEEF4" w14:textId="2BB427A9" w:rsidR="00E97DE6" w:rsidRPr="00E97DE6" w:rsidRDefault="00E97DE6" w:rsidP="002B6561">
      <w:pPr>
        <w:pStyle w:val="WW-Recuodecorpodetexto2"/>
        <w:rPr>
          <w:color w:val="auto"/>
        </w:rPr>
      </w:pPr>
      <w:r w:rsidRPr="00E97DE6">
        <w:rPr>
          <w:color w:val="auto"/>
        </w:rPr>
        <w:t xml:space="preserve">Nessa direção, </w:t>
      </w:r>
      <w:r w:rsidR="00CC3572">
        <w:rPr>
          <w:color w:val="auto"/>
        </w:rPr>
        <w:t>outro</w:t>
      </w:r>
      <w:r w:rsidRPr="00E97DE6">
        <w:rPr>
          <w:color w:val="auto"/>
        </w:rPr>
        <w:t xml:space="preserve"> aspecto relevante foi a decisão </w:t>
      </w:r>
      <w:r w:rsidR="00CC3572" w:rsidRPr="00E97DE6">
        <w:rPr>
          <w:color w:val="auto"/>
        </w:rPr>
        <w:t>metodológic</w:t>
      </w:r>
      <w:r w:rsidR="00CC3572">
        <w:rPr>
          <w:color w:val="auto"/>
        </w:rPr>
        <w:t xml:space="preserve">a </w:t>
      </w:r>
      <w:r w:rsidRPr="00E97DE6">
        <w:rPr>
          <w:color w:val="auto"/>
        </w:rPr>
        <w:t>de incluir o tema “Saúde Mental e Performance” como encontro inaugural. Embora, no GMP-SP original, a saúde mental opere como camada transversal, no PPMA</w:t>
      </w:r>
      <w:r w:rsidR="00CC3572">
        <w:rPr>
          <w:color w:val="auto"/>
        </w:rPr>
        <w:t>, além</w:t>
      </w:r>
      <w:r w:rsidRPr="00E97DE6">
        <w:rPr>
          <w:color w:val="auto"/>
        </w:rPr>
        <w:t xml:space="preserve"> </w:t>
      </w:r>
      <w:r w:rsidR="00CC3572">
        <w:rPr>
          <w:color w:val="auto"/>
        </w:rPr>
        <w:t>d</w:t>
      </w:r>
      <w:r w:rsidRPr="00E97DE6">
        <w:rPr>
          <w:color w:val="auto"/>
        </w:rPr>
        <w:t>e</w:t>
      </w:r>
      <w:r w:rsidR="00CC3572">
        <w:rPr>
          <w:color w:val="auto"/>
        </w:rPr>
        <w:t xml:space="preserve"> ter sido</w:t>
      </w:r>
      <w:r w:rsidRPr="00E97DE6">
        <w:rPr>
          <w:color w:val="auto"/>
        </w:rPr>
        <w:t xml:space="preserve"> formalizada como eixo</w:t>
      </w:r>
      <w:r w:rsidR="00CC3572">
        <w:rPr>
          <w:color w:val="auto"/>
        </w:rPr>
        <w:t xml:space="preserve"> estruturante,</w:t>
      </w:r>
      <w:r w:rsidRPr="00E97DE6">
        <w:rPr>
          <w:color w:val="auto"/>
        </w:rPr>
        <w:t xml:space="preserve"> </w:t>
      </w:r>
      <w:r w:rsidR="00CC3572">
        <w:rPr>
          <w:color w:val="auto"/>
        </w:rPr>
        <w:t xml:space="preserve">foi também </w:t>
      </w:r>
      <w:r w:rsidRPr="00E97DE6">
        <w:rPr>
          <w:color w:val="auto"/>
        </w:rPr>
        <w:t>reposiciona</w:t>
      </w:r>
      <w:r w:rsidR="00CC3572">
        <w:rPr>
          <w:color w:val="auto"/>
        </w:rPr>
        <w:t>da</w:t>
      </w:r>
      <w:r w:rsidRPr="00E97DE6">
        <w:rPr>
          <w:color w:val="auto"/>
        </w:rPr>
        <w:t xml:space="preserve"> como ponto inicial da intervenção. Essa escolha é justificada por duas razões principais: a) trata-se de um conteúdo que integra e articula perspectivas clássicas da Psicologia do Esporte, tradicionalmente centradas na performance, com a abordagem atual que considera a saúde mental como componente inseparável do rendimento sustentável; e b) estabelece a base conceitual crítica para que atletas possam compreender, ao longo das sessões seguintes, como habilidades psicológicas, processos autorregulatórios, dinâmicas relacionais e aspectos de vida extrapolam o ambiente competitivo e influenciam além da performance, mas sua vida como um todo. Dessa forma, o tema inaugura o </w:t>
      </w:r>
      <w:r w:rsidR="00CC3572">
        <w:rPr>
          <w:color w:val="auto"/>
        </w:rPr>
        <w:t xml:space="preserve">PPMA, o </w:t>
      </w:r>
      <w:r w:rsidRPr="00E97DE6">
        <w:rPr>
          <w:color w:val="auto"/>
        </w:rPr>
        <w:t>Eixo Ouro e atua como elo estruturante entre tradição, evidências atuais e necessidades emergentes no alto rendimento brasileiro.</w:t>
      </w:r>
    </w:p>
    <w:p w14:paraId="22E4AF7B" w14:textId="77777777" w:rsidR="00E97DE6" w:rsidRPr="00E97DE6" w:rsidRDefault="00E97DE6" w:rsidP="002B6561">
      <w:pPr>
        <w:pStyle w:val="WW-Recuodecorpodetexto2"/>
        <w:rPr>
          <w:color w:val="auto"/>
        </w:rPr>
      </w:pPr>
      <w:r w:rsidRPr="00E97DE6">
        <w:rPr>
          <w:color w:val="auto"/>
        </w:rPr>
        <w:t>Por fim, além da definição temática dos encontros, sugere-se que a condução das sessões do PPMA possa ser organizada a partir de quatro pilares metodológicos: psicoeducação, atividades práticas, dinâmicas de grupo e tarefas extra-sessão, por se alinharem a princípios amplamente reconhecidos nos estudos sobre aprendizagem. Essa composição dialoga com a proposta da aprendizagem experiencial, que enfatiza que processos formativos eficazes integram compreensão conceitual, vivência prática, reflexão compartilhada e aplicação ativa dos conteúdos em diferentes contextos (Kolb, 2015). De modo complementar, aproxima-se também das perspectivas contemporâneas da aprendizagem de adultos, as quais destacam que o desenvolvimento de competências requer experiências significativas, participação ativa, conexão com demandas reais e oportunidades de generalização para a vida cotidiana (Merriam &amp; Bierema, 2013). Assim, embora não configure como exigência estrutural do programa, esses quatro componentes podem favorecer a progressão pedagógica, a transferência das habilidades psicológicas para o ambiente esportivo e a autonomia dos atletas ao longo do processo.</w:t>
      </w:r>
    </w:p>
    <w:p w14:paraId="3A2CC06F" w14:textId="77777777" w:rsidR="00E97DE6" w:rsidRDefault="00E97DE6" w:rsidP="002B6561">
      <w:pPr>
        <w:pStyle w:val="WW-Recuodecorpodetexto2"/>
        <w:ind w:firstLine="0"/>
        <w:rPr>
          <w:color w:val="auto"/>
        </w:rPr>
      </w:pPr>
    </w:p>
    <w:p w14:paraId="61DF3D19" w14:textId="77777777" w:rsidR="00E97DE6" w:rsidRPr="00E97DE6" w:rsidRDefault="00E97DE6" w:rsidP="002B6561">
      <w:pPr>
        <w:pStyle w:val="WW-Recuodecorpodetexto2"/>
        <w:ind w:firstLine="0"/>
        <w:rPr>
          <w:b/>
          <w:bCs/>
          <w:color w:val="auto"/>
        </w:rPr>
      </w:pPr>
      <w:r w:rsidRPr="00E97DE6">
        <w:rPr>
          <w:b/>
          <w:bCs/>
          <w:color w:val="auto"/>
        </w:rPr>
        <w:t xml:space="preserve">3 Resultados </w:t>
      </w:r>
      <w:r>
        <w:rPr>
          <w:b/>
          <w:bCs/>
          <w:color w:val="auto"/>
        </w:rPr>
        <w:t>e</w:t>
      </w:r>
      <w:r w:rsidRPr="00E97DE6">
        <w:rPr>
          <w:b/>
          <w:bCs/>
          <w:color w:val="auto"/>
        </w:rPr>
        <w:t xml:space="preserve"> Discussão</w:t>
      </w:r>
    </w:p>
    <w:p w14:paraId="083C9CE2" w14:textId="243EF62E" w:rsidR="00B644B9" w:rsidRDefault="00B644B9" w:rsidP="002B6561">
      <w:pPr>
        <w:pStyle w:val="WW-Recuodecorpodetexto2"/>
        <w:spacing w:after="240"/>
        <w:rPr>
          <w:color w:val="auto"/>
        </w:rPr>
      </w:pPr>
      <w:r w:rsidRPr="00B644B9">
        <w:rPr>
          <w:color w:val="auto"/>
        </w:rPr>
        <w:t>A Figura 1 apresenta a estrutura conceitual do Programa de Preparação Mental para Atletas (PPMA), organizado em quatro eixos complementares e interdependentes. No centro da estrutura encontra-se o PPMA, representando a articulação entre os diferentes eixos e reforçando a concepção de que a performance sustentável emerge da integração de competências psicológicas, relacionais e de bem-estar ao longo da trajetória esportiva.</w:t>
      </w:r>
      <w:r>
        <w:rPr>
          <w:color w:val="auto"/>
        </w:rPr>
        <w:t xml:space="preserve"> </w:t>
      </w:r>
    </w:p>
    <w:p w14:paraId="4A33A0F2" w14:textId="57684D06" w:rsidR="00B644B9" w:rsidRDefault="00B644B9" w:rsidP="00B644B9">
      <w:pPr>
        <w:pStyle w:val="WW-Recuodecorpodetexto2"/>
        <w:spacing w:after="240"/>
        <w:ind w:firstLine="0"/>
        <w:rPr>
          <w:color w:val="auto"/>
        </w:rPr>
      </w:pPr>
      <w:r w:rsidRPr="00B644B9">
        <w:rPr>
          <w:b/>
          <w:bCs/>
          <w:color w:val="auto"/>
        </w:rPr>
        <w:t>Figura 1</w:t>
      </w:r>
      <w:r>
        <w:rPr>
          <w:color w:val="auto"/>
        </w:rPr>
        <w:t xml:space="preserve">. </w:t>
      </w:r>
      <w:r w:rsidRPr="00B644B9">
        <w:rPr>
          <w:color w:val="auto"/>
        </w:rPr>
        <w:t>Estrutura conceitual do Programa de Preparação Mental para Atletas (PPMA)</w:t>
      </w:r>
    </w:p>
    <w:p w14:paraId="0770DC4D" w14:textId="425156FD" w:rsidR="00B644B9" w:rsidRDefault="00B644B9" w:rsidP="00B644B9">
      <w:pPr>
        <w:pStyle w:val="WW-Recuodecorpodetexto2"/>
        <w:spacing w:after="240"/>
        <w:ind w:firstLine="0"/>
        <w:jc w:val="center"/>
        <w:rPr>
          <w:color w:val="auto"/>
        </w:rPr>
      </w:pPr>
      <w:r w:rsidRPr="00B644B9">
        <w:rPr>
          <w:noProof/>
          <w:color w:val="auto"/>
          <w:lang w:eastAsia="pt-BR" w:bidi="ar-SA"/>
        </w:rPr>
        <w:drawing>
          <wp:inline distT="0" distB="0" distL="0" distR="0" wp14:anchorId="458309B1" wp14:editId="1E19FEA2">
            <wp:extent cx="4281055" cy="4281055"/>
            <wp:effectExtent l="0" t="0" r="0" b="0"/>
            <wp:docPr id="59405138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051381" name=""/>
                    <pic:cNvPicPr/>
                  </pic:nvPicPr>
                  <pic:blipFill>
                    <a:blip r:embed="rId8"/>
                    <a:stretch>
                      <a:fillRect/>
                    </a:stretch>
                  </pic:blipFill>
                  <pic:spPr>
                    <a:xfrm>
                      <a:off x="0" y="0"/>
                      <a:ext cx="4304126" cy="4304126"/>
                    </a:xfrm>
                    <a:prstGeom prst="rect">
                      <a:avLst/>
                    </a:prstGeom>
                  </pic:spPr>
                </pic:pic>
              </a:graphicData>
            </a:graphic>
          </wp:inline>
        </w:drawing>
      </w:r>
    </w:p>
    <w:p w14:paraId="0FD0B4E7" w14:textId="4BD67D3C" w:rsidR="00B644B9" w:rsidRDefault="00B644B9" w:rsidP="00B644B9">
      <w:pPr>
        <w:pStyle w:val="WW-Recuodecorpodetexto2"/>
        <w:spacing w:after="240"/>
        <w:ind w:firstLine="0"/>
        <w:rPr>
          <w:color w:val="auto"/>
        </w:rPr>
      </w:pPr>
      <w:r>
        <w:rPr>
          <w:color w:val="auto"/>
        </w:rPr>
        <w:t xml:space="preserve">Fonte: elaborado pelos autores </w:t>
      </w:r>
      <w:r w:rsidRPr="00B644B9">
        <w:rPr>
          <w:color w:val="auto"/>
        </w:rPr>
        <w:t>com auxílio de inteligência artificial generativa (ChatGPT/OpenAI)</w:t>
      </w:r>
      <w:r>
        <w:rPr>
          <w:color w:val="auto"/>
        </w:rPr>
        <w:t>.</w:t>
      </w:r>
    </w:p>
    <w:p w14:paraId="4C37D75A" w14:textId="16CE9AB7" w:rsidR="00E97DE6" w:rsidRDefault="00B644B9" w:rsidP="00B644B9">
      <w:pPr>
        <w:pStyle w:val="WW-Recuodecorpodetexto2"/>
        <w:spacing w:after="240"/>
        <w:rPr>
          <w:color w:val="auto"/>
        </w:rPr>
      </w:pPr>
      <w:r>
        <w:rPr>
          <w:color w:val="auto"/>
        </w:rPr>
        <w:t xml:space="preserve">Assim, o </w:t>
      </w:r>
      <w:r w:rsidR="00E97DE6" w:rsidRPr="00E97DE6">
        <w:rPr>
          <w:color w:val="auto"/>
        </w:rPr>
        <w:t>desenvolvimento do PPMA resultou na consolidação de uma estrutura de intervenção que traduz o GMP-SP para o contexto brasileiro, ampliando-o a partir das demandas socioculturais, emocionais e estruturais identificadas na realidade do esporte de alto rendimento nacional. Ao organizar dezesseis encontros distribuídos em quatro eixos, o PPMA materializa, em formato aplicado, a convergência entre fundamentos clássicos da Psicologia do Esporte e abordagens contemporâneas que enfatizam saúde mental, sustentabilidade da performance e preparação para a carreira. Conforme apresentado a seguir, a Tabela 1 sintetiza temas, objetivos, referências utilizadas e os fundamentos conceituais de cada encontro.</w:t>
      </w:r>
    </w:p>
    <w:p w14:paraId="154D676C" w14:textId="77777777" w:rsidR="00E97DE6" w:rsidRPr="00E97DE6" w:rsidRDefault="00E97DE6" w:rsidP="002B6561">
      <w:pPr>
        <w:pStyle w:val="WW-Recuodecorpodetexto2"/>
        <w:ind w:firstLine="0"/>
        <w:rPr>
          <w:color w:val="auto"/>
          <w:sz w:val="20"/>
          <w:szCs w:val="20"/>
        </w:rPr>
      </w:pPr>
      <w:r w:rsidRPr="00E97DE6">
        <w:rPr>
          <w:b/>
          <w:bCs/>
          <w:color w:val="auto"/>
          <w:sz w:val="20"/>
          <w:szCs w:val="20"/>
        </w:rPr>
        <w:t xml:space="preserve">Tabela 1 – </w:t>
      </w:r>
      <w:r w:rsidRPr="00E97DE6">
        <w:rPr>
          <w:color w:val="auto"/>
          <w:sz w:val="20"/>
          <w:szCs w:val="20"/>
        </w:rPr>
        <w:t xml:space="preserve"> Estrutura dos 16 encontros do PPMA</w:t>
      </w:r>
    </w:p>
    <w:tbl>
      <w:tblPr>
        <w:tblW w:w="9496" w:type="dxa"/>
        <w:jc w:val="center"/>
        <w:tblBorders>
          <w:top w:val="single" w:sz="4" w:space="0" w:color="auto"/>
          <w:bottom w:val="single" w:sz="4" w:space="0" w:color="auto"/>
          <w:insideH w:val="single" w:sz="4" w:space="0" w:color="auto"/>
        </w:tblBorders>
        <w:tblLayout w:type="fixed"/>
        <w:tblLook w:val="04A0" w:firstRow="1" w:lastRow="0" w:firstColumn="1" w:lastColumn="0" w:noHBand="0" w:noVBand="1"/>
      </w:tblPr>
      <w:tblGrid>
        <w:gridCol w:w="497"/>
        <w:gridCol w:w="1063"/>
        <w:gridCol w:w="1274"/>
        <w:gridCol w:w="2836"/>
        <w:gridCol w:w="1558"/>
        <w:gridCol w:w="2268"/>
      </w:tblGrid>
      <w:tr w:rsidR="00E97DE6" w14:paraId="22DBE43B" w14:textId="77777777" w:rsidTr="002B6561">
        <w:trPr>
          <w:trHeight w:val="25"/>
          <w:jc w:val="center"/>
        </w:trPr>
        <w:tc>
          <w:tcPr>
            <w:tcW w:w="497" w:type="dxa"/>
            <w:vAlign w:val="center"/>
            <w:hideMark/>
          </w:tcPr>
          <w:p w14:paraId="558557E6" w14:textId="77777777" w:rsidR="00E97DE6" w:rsidRDefault="00E97DE6" w:rsidP="002B6561">
            <w:pPr>
              <w:pStyle w:val="NormalWeb"/>
              <w:spacing w:before="0" w:beforeAutospacing="0" w:after="0" w:afterAutospacing="0"/>
              <w:jc w:val="center"/>
              <w:rPr>
                <w:b/>
                <w:bCs/>
                <w:sz w:val="20"/>
                <w:szCs w:val="20"/>
              </w:rPr>
            </w:pPr>
            <w:r>
              <w:rPr>
                <w:b/>
                <w:bCs/>
                <w:color w:val="000000"/>
                <w:sz w:val="20"/>
                <w:szCs w:val="20"/>
              </w:rPr>
              <w:t>N</w:t>
            </w:r>
          </w:p>
        </w:tc>
        <w:tc>
          <w:tcPr>
            <w:tcW w:w="1063" w:type="dxa"/>
            <w:vAlign w:val="center"/>
            <w:hideMark/>
          </w:tcPr>
          <w:p w14:paraId="7789FF33" w14:textId="77777777" w:rsidR="00E97DE6" w:rsidRDefault="00E97DE6" w:rsidP="002B6561">
            <w:pPr>
              <w:pStyle w:val="NormalWeb"/>
              <w:spacing w:before="0" w:beforeAutospacing="0" w:after="0" w:afterAutospacing="0"/>
              <w:jc w:val="center"/>
              <w:rPr>
                <w:b/>
                <w:bCs/>
                <w:sz w:val="20"/>
                <w:szCs w:val="20"/>
              </w:rPr>
            </w:pPr>
            <w:r>
              <w:rPr>
                <w:b/>
                <w:bCs/>
                <w:color w:val="000000"/>
                <w:sz w:val="20"/>
                <w:szCs w:val="20"/>
              </w:rPr>
              <w:t>Eixo</w:t>
            </w:r>
          </w:p>
        </w:tc>
        <w:tc>
          <w:tcPr>
            <w:tcW w:w="1274" w:type="dxa"/>
            <w:vAlign w:val="center"/>
            <w:hideMark/>
          </w:tcPr>
          <w:p w14:paraId="04102FE8" w14:textId="77777777" w:rsidR="00E97DE6" w:rsidRDefault="00E97DE6" w:rsidP="002B6561">
            <w:pPr>
              <w:pStyle w:val="NormalWeb"/>
              <w:spacing w:before="0" w:beforeAutospacing="0" w:after="0" w:afterAutospacing="0"/>
              <w:jc w:val="center"/>
              <w:rPr>
                <w:b/>
                <w:bCs/>
                <w:sz w:val="20"/>
                <w:szCs w:val="20"/>
              </w:rPr>
            </w:pPr>
            <w:r>
              <w:rPr>
                <w:b/>
                <w:bCs/>
                <w:color w:val="000000"/>
                <w:sz w:val="20"/>
                <w:szCs w:val="20"/>
              </w:rPr>
              <w:t>Tema</w:t>
            </w:r>
          </w:p>
        </w:tc>
        <w:tc>
          <w:tcPr>
            <w:tcW w:w="2836" w:type="dxa"/>
            <w:vAlign w:val="center"/>
            <w:hideMark/>
          </w:tcPr>
          <w:p w14:paraId="7C0A8BCD" w14:textId="77777777" w:rsidR="00E97DE6" w:rsidRDefault="00E97DE6" w:rsidP="002B6561">
            <w:pPr>
              <w:pStyle w:val="NormalWeb"/>
              <w:spacing w:before="0" w:beforeAutospacing="0" w:after="0" w:afterAutospacing="0"/>
              <w:jc w:val="center"/>
              <w:rPr>
                <w:b/>
                <w:bCs/>
                <w:sz w:val="20"/>
                <w:szCs w:val="20"/>
              </w:rPr>
            </w:pPr>
            <w:r>
              <w:rPr>
                <w:b/>
                <w:bCs/>
                <w:color w:val="000000"/>
                <w:sz w:val="20"/>
                <w:szCs w:val="20"/>
              </w:rPr>
              <w:t>Objetivos</w:t>
            </w:r>
          </w:p>
        </w:tc>
        <w:tc>
          <w:tcPr>
            <w:tcW w:w="1558" w:type="dxa"/>
            <w:vAlign w:val="center"/>
            <w:hideMark/>
          </w:tcPr>
          <w:p w14:paraId="3BA24457" w14:textId="77777777" w:rsidR="00E97DE6" w:rsidRDefault="00E97DE6" w:rsidP="002B6561">
            <w:pPr>
              <w:pStyle w:val="NormalWeb"/>
              <w:spacing w:before="0" w:beforeAutospacing="0" w:after="0" w:afterAutospacing="0"/>
              <w:jc w:val="center"/>
              <w:rPr>
                <w:b/>
                <w:bCs/>
                <w:sz w:val="20"/>
                <w:szCs w:val="20"/>
              </w:rPr>
            </w:pPr>
            <w:r>
              <w:rPr>
                <w:b/>
                <w:bCs/>
                <w:color w:val="000000"/>
                <w:sz w:val="20"/>
                <w:szCs w:val="20"/>
              </w:rPr>
              <w:t>Referências</w:t>
            </w:r>
          </w:p>
        </w:tc>
        <w:tc>
          <w:tcPr>
            <w:tcW w:w="2268" w:type="dxa"/>
            <w:vAlign w:val="center"/>
            <w:hideMark/>
          </w:tcPr>
          <w:p w14:paraId="5B2483A9" w14:textId="77777777" w:rsidR="00E97DE6" w:rsidRDefault="00E97DE6" w:rsidP="002B6561">
            <w:pPr>
              <w:pStyle w:val="NormalWeb"/>
              <w:spacing w:before="0" w:beforeAutospacing="0" w:after="0" w:afterAutospacing="0"/>
              <w:jc w:val="center"/>
              <w:rPr>
                <w:b/>
                <w:bCs/>
                <w:sz w:val="20"/>
                <w:szCs w:val="20"/>
              </w:rPr>
            </w:pPr>
            <w:r>
              <w:rPr>
                <w:b/>
                <w:bCs/>
                <w:color w:val="000000"/>
                <w:sz w:val="20"/>
                <w:szCs w:val="20"/>
              </w:rPr>
              <w:t>Teorias</w:t>
            </w:r>
          </w:p>
        </w:tc>
      </w:tr>
      <w:tr w:rsidR="00E97DE6" w14:paraId="77F788B1" w14:textId="77777777" w:rsidTr="002B6561">
        <w:trPr>
          <w:jc w:val="center"/>
        </w:trPr>
        <w:tc>
          <w:tcPr>
            <w:tcW w:w="497" w:type="dxa"/>
            <w:vAlign w:val="center"/>
            <w:hideMark/>
          </w:tcPr>
          <w:p w14:paraId="68CF6C3F" w14:textId="77777777" w:rsidR="00E97DE6" w:rsidRDefault="00E97DE6" w:rsidP="002B6561">
            <w:pPr>
              <w:pStyle w:val="NormalWeb"/>
              <w:spacing w:before="0" w:beforeAutospacing="0" w:after="0" w:afterAutospacing="0"/>
              <w:jc w:val="center"/>
              <w:rPr>
                <w:b/>
                <w:bCs/>
                <w:sz w:val="20"/>
                <w:szCs w:val="20"/>
              </w:rPr>
            </w:pPr>
            <w:r>
              <w:rPr>
                <w:b/>
                <w:bCs/>
                <w:color w:val="000000"/>
                <w:sz w:val="20"/>
                <w:szCs w:val="20"/>
              </w:rPr>
              <w:t>1</w:t>
            </w:r>
          </w:p>
        </w:tc>
        <w:tc>
          <w:tcPr>
            <w:tcW w:w="1063" w:type="dxa"/>
            <w:vAlign w:val="center"/>
            <w:hideMark/>
          </w:tcPr>
          <w:p w14:paraId="78788B4B" w14:textId="77777777" w:rsidR="00E97DE6" w:rsidRDefault="00E97DE6" w:rsidP="002B6561">
            <w:pPr>
              <w:pStyle w:val="NormalWeb"/>
              <w:spacing w:before="0" w:beforeAutospacing="0" w:after="0" w:afterAutospacing="0"/>
              <w:jc w:val="center"/>
              <w:rPr>
                <w:b/>
                <w:bCs/>
                <w:sz w:val="20"/>
                <w:szCs w:val="20"/>
              </w:rPr>
            </w:pPr>
            <w:r>
              <w:rPr>
                <w:b/>
                <w:bCs/>
                <w:sz w:val="20"/>
                <w:szCs w:val="20"/>
              </w:rPr>
              <w:t>Ouro</w:t>
            </w:r>
          </w:p>
        </w:tc>
        <w:tc>
          <w:tcPr>
            <w:tcW w:w="1274" w:type="dxa"/>
            <w:vAlign w:val="center"/>
            <w:hideMark/>
          </w:tcPr>
          <w:p w14:paraId="4384B75A" w14:textId="77777777" w:rsidR="00E97DE6" w:rsidRDefault="00E97DE6" w:rsidP="002B6561">
            <w:pPr>
              <w:pStyle w:val="NormalWeb"/>
              <w:spacing w:before="0" w:beforeAutospacing="0" w:after="0" w:afterAutospacing="0"/>
              <w:jc w:val="center"/>
              <w:rPr>
                <w:sz w:val="20"/>
                <w:szCs w:val="20"/>
              </w:rPr>
            </w:pPr>
            <w:r>
              <w:rPr>
                <w:color w:val="000000"/>
                <w:sz w:val="20"/>
                <w:szCs w:val="20"/>
              </w:rPr>
              <w:t>Saúde Mental e Performance</w:t>
            </w:r>
          </w:p>
        </w:tc>
        <w:tc>
          <w:tcPr>
            <w:tcW w:w="2836" w:type="dxa"/>
            <w:vAlign w:val="center"/>
            <w:hideMark/>
          </w:tcPr>
          <w:p w14:paraId="557AE251" w14:textId="77777777" w:rsidR="00E97DE6" w:rsidRDefault="00E97DE6" w:rsidP="002B6561">
            <w:pPr>
              <w:pStyle w:val="NormalWeb"/>
              <w:spacing w:before="0" w:beforeAutospacing="0" w:after="0" w:afterAutospacing="0"/>
              <w:jc w:val="center"/>
              <w:rPr>
                <w:sz w:val="20"/>
                <w:szCs w:val="20"/>
              </w:rPr>
            </w:pPr>
            <w:r>
              <w:rPr>
                <w:color w:val="000000"/>
                <w:sz w:val="20"/>
                <w:szCs w:val="20"/>
              </w:rPr>
              <w:t>Compreender a relação entre saúde mental e desempenho esportivo; ampliar o conceito de saúde mental</w:t>
            </w:r>
          </w:p>
        </w:tc>
        <w:tc>
          <w:tcPr>
            <w:tcW w:w="1558" w:type="dxa"/>
            <w:vAlign w:val="center"/>
            <w:hideMark/>
          </w:tcPr>
          <w:p w14:paraId="66492978" w14:textId="77777777" w:rsidR="00E97DE6" w:rsidRDefault="00E97DE6" w:rsidP="002B6561">
            <w:pPr>
              <w:pStyle w:val="NormalWeb"/>
              <w:spacing w:before="0" w:beforeAutospacing="0" w:after="0" w:afterAutospacing="0"/>
              <w:jc w:val="center"/>
              <w:rPr>
                <w:color w:val="000000"/>
                <w:sz w:val="20"/>
                <w:szCs w:val="20"/>
              </w:rPr>
            </w:pPr>
            <w:r>
              <w:rPr>
                <w:color w:val="000000"/>
                <w:sz w:val="20"/>
                <w:szCs w:val="20"/>
              </w:rPr>
              <w:t>Colagrai et al (2022); OMS (2022)</w:t>
            </w:r>
          </w:p>
        </w:tc>
        <w:tc>
          <w:tcPr>
            <w:tcW w:w="2268" w:type="dxa"/>
            <w:vAlign w:val="center"/>
            <w:hideMark/>
          </w:tcPr>
          <w:p w14:paraId="1FC8DDF3" w14:textId="77777777" w:rsidR="00E97DE6" w:rsidRDefault="00E97DE6" w:rsidP="002B6561">
            <w:pPr>
              <w:pStyle w:val="NormalWeb"/>
              <w:spacing w:before="0" w:beforeAutospacing="0" w:after="0" w:afterAutospacing="0"/>
              <w:jc w:val="center"/>
              <w:rPr>
                <w:color w:val="000000"/>
                <w:sz w:val="20"/>
                <w:szCs w:val="20"/>
              </w:rPr>
            </w:pPr>
            <w:r>
              <w:rPr>
                <w:color w:val="000000"/>
                <w:sz w:val="20"/>
                <w:szCs w:val="20"/>
              </w:rPr>
              <w:t>Relação entre saúde mental e doença mental; Fatores de risco e Fatores protetivos</w:t>
            </w:r>
          </w:p>
        </w:tc>
      </w:tr>
      <w:tr w:rsidR="00E97DE6" w14:paraId="753542AD" w14:textId="77777777" w:rsidTr="002B6561">
        <w:trPr>
          <w:jc w:val="center"/>
        </w:trPr>
        <w:tc>
          <w:tcPr>
            <w:tcW w:w="497" w:type="dxa"/>
            <w:vAlign w:val="center"/>
            <w:hideMark/>
          </w:tcPr>
          <w:p w14:paraId="6E43F133" w14:textId="77777777" w:rsidR="00E97DE6" w:rsidRDefault="00E97DE6" w:rsidP="002B6561">
            <w:pPr>
              <w:pStyle w:val="NormalWeb"/>
              <w:spacing w:before="0" w:beforeAutospacing="0" w:after="0" w:afterAutospacing="0"/>
              <w:jc w:val="center"/>
              <w:rPr>
                <w:b/>
                <w:bCs/>
                <w:sz w:val="20"/>
                <w:szCs w:val="20"/>
              </w:rPr>
            </w:pPr>
            <w:r>
              <w:rPr>
                <w:b/>
                <w:bCs/>
                <w:color w:val="000000"/>
                <w:sz w:val="20"/>
                <w:szCs w:val="20"/>
              </w:rPr>
              <w:t>2</w:t>
            </w:r>
          </w:p>
        </w:tc>
        <w:tc>
          <w:tcPr>
            <w:tcW w:w="1063" w:type="dxa"/>
            <w:vAlign w:val="center"/>
            <w:hideMark/>
          </w:tcPr>
          <w:p w14:paraId="3F8917F4" w14:textId="77777777" w:rsidR="00E97DE6" w:rsidRDefault="00E97DE6" w:rsidP="002B6561">
            <w:pPr>
              <w:pStyle w:val="NormalWeb"/>
              <w:spacing w:before="0" w:beforeAutospacing="0" w:after="0" w:afterAutospacing="0"/>
              <w:jc w:val="center"/>
              <w:rPr>
                <w:b/>
                <w:bCs/>
                <w:sz w:val="20"/>
                <w:szCs w:val="20"/>
              </w:rPr>
            </w:pPr>
            <w:r>
              <w:rPr>
                <w:b/>
                <w:bCs/>
                <w:color w:val="000000"/>
                <w:sz w:val="20"/>
                <w:szCs w:val="20"/>
              </w:rPr>
              <w:t>Ouro</w:t>
            </w:r>
          </w:p>
        </w:tc>
        <w:tc>
          <w:tcPr>
            <w:tcW w:w="1274" w:type="dxa"/>
            <w:vAlign w:val="center"/>
            <w:hideMark/>
          </w:tcPr>
          <w:p w14:paraId="0968D12C" w14:textId="77777777" w:rsidR="00E97DE6" w:rsidRDefault="00E97DE6" w:rsidP="002B6561">
            <w:pPr>
              <w:pStyle w:val="NormalWeb"/>
              <w:spacing w:before="0" w:beforeAutospacing="0" w:after="0" w:afterAutospacing="0"/>
              <w:jc w:val="center"/>
              <w:rPr>
                <w:sz w:val="20"/>
                <w:szCs w:val="20"/>
              </w:rPr>
            </w:pPr>
            <w:r>
              <w:rPr>
                <w:color w:val="000000"/>
                <w:sz w:val="20"/>
                <w:szCs w:val="20"/>
              </w:rPr>
              <w:t>Motivação</w:t>
            </w:r>
          </w:p>
        </w:tc>
        <w:tc>
          <w:tcPr>
            <w:tcW w:w="2836" w:type="dxa"/>
            <w:vAlign w:val="center"/>
            <w:hideMark/>
          </w:tcPr>
          <w:p w14:paraId="152D3D2F" w14:textId="77777777" w:rsidR="00E97DE6" w:rsidRDefault="00E97DE6" w:rsidP="002B6561">
            <w:pPr>
              <w:pStyle w:val="NormalWeb"/>
              <w:spacing w:before="0" w:beforeAutospacing="0" w:after="0" w:afterAutospacing="0"/>
              <w:jc w:val="center"/>
              <w:rPr>
                <w:sz w:val="20"/>
                <w:szCs w:val="20"/>
              </w:rPr>
            </w:pPr>
            <w:r>
              <w:rPr>
                <w:color w:val="000000"/>
                <w:sz w:val="20"/>
                <w:szCs w:val="20"/>
              </w:rPr>
              <w:t>Ampliar o entendimento da motivação no alto rendimento, explorar as próprias razões para estar no esporte, diferenciá-la de outros conceitos e aprofundá-la como base para construir um caminho mais consciente</w:t>
            </w:r>
          </w:p>
        </w:tc>
        <w:tc>
          <w:tcPr>
            <w:tcW w:w="1558" w:type="dxa"/>
            <w:vAlign w:val="center"/>
            <w:hideMark/>
          </w:tcPr>
          <w:p w14:paraId="0390F065" w14:textId="77777777" w:rsidR="00E97DE6" w:rsidRDefault="00E97DE6" w:rsidP="002B6561">
            <w:pPr>
              <w:pStyle w:val="NormalWeb"/>
              <w:spacing w:before="0" w:beforeAutospacing="0" w:after="0" w:afterAutospacing="0"/>
              <w:jc w:val="center"/>
              <w:rPr>
                <w:sz w:val="20"/>
                <w:szCs w:val="20"/>
              </w:rPr>
            </w:pPr>
            <w:r>
              <w:rPr>
                <w:color w:val="000000"/>
                <w:sz w:val="20"/>
                <w:szCs w:val="20"/>
              </w:rPr>
              <w:t>Weinberg &amp; Gould (2017);</w:t>
            </w:r>
            <w:r>
              <w:rPr>
                <w:sz w:val="20"/>
                <w:szCs w:val="20"/>
              </w:rPr>
              <w:t xml:space="preserve"> </w:t>
            </w:r>
            <w:r>
              <w:rPr>
                <w:color w:val="000000"/>
                <w:sz w:val="20"/>
                <w:szCs w:val="20"/>
              </w:rPr>
              <w:t>Ryan &amp; Deci (2019)</w:t>
            </w:r>
          </w:p>
        </w:tc>
        <w:tc>
          <w:tcPr>
            <w:tcW w:w="2268" w:type="dxa"/>
            <w:vAlign w:val="center"/>
            <w:hideMark/>
          </w:tcPr>
          <w:p w14:paraId="6A630EA2" w14:textId="77777777" w:rsidR="00E97DE6" w:rsidRDefault="00E97DE6" w:rsidP="002B6561">
            <w:pPr>
              <w:pStyle w:val="NormalWeb"/>
              <w:spacing w:before="0" w:beforeAutospacing="0" w:after="0" w:afterAutospacing="0"/>
              <w:jc w:val="center"/>
              <w:rPr>
                <w:sz w:val="20"/>
                <w:szCs w:val="20"/>
              </w:rPr>
            </w:pPr>
            <w:r>
              <w:rPr>
                <w:color w:val="000000"/>
                <w:sz w:val="20"/>
                <w:szCs w:val="20"/>
              </w:rPr>
              <w:t>Teoria da Autodeterminação (TAD); Continuum de motivação; Relação entre motivação e disciplina</w:t>
            </w:r>
          </w:p>
        </w:tc>
      </w:tr>
      <w:tr w:rsidR="00E97DE6" w14:paraId="37402165" w14:textId="77777777" w:rsidTr="002B6561">
        <w:trPr>
          <w:jc w:val="center"/>
        </w:trPr>
        <w:tc>
          <w:tcPr>
            <w:tcW w:w="497" w:type="dxa"/>
            <w:vAlign w:val="center"/>
            <w:hideMark/>
          </w:tcPr>
          <w:p w14:paraId="174BE149" w14:textId="77777777" w:rsidR="00E97DE6" w:rsidRDefault="00E97DE6" w:rsidP="002B6561">
            <w:pPr>
              <w:pStyle w:val="NormalWeb"/>
              <w:spacing w:before="0" w:beforeAutospacing="0" w:after="0" w:afterAutospacing="0"/>
              <w:jc w:val="center"/>
              <w:rPr>
                <w:b/>
                <w:bCs/>
                <w:sz w:val="20"/>
                <w:szCs w:val="20"/>
              </w:rPr>
            </w:pPr>
            <w:r>
              <w:rPr>
                <w:b/>
                <w:bCs/>
                <w:color w:val="000000"/>
                <w:sz w:val="20"/>
                <w:szCs w:val="20"/>
              </w:rPr>
              <w:t>3</w:t>
            </w:r>
          </w:p>
        </w:tc>
        <w:tc>
          <w:tcPr>
            <w:tcW w:w="1063" w:type="dxa"/>
            <w:vAlign w:val="center"/>
            <w:hideMark/>
          </w:tcPr>
          <w:p w14:paraId="550E595A" w14:textId="77777777" w:rsidR="00E97DE6" w:rsidRDefault="00E97DE6" w:rsidP="002B6561">
            <w:pPr>
              <w:pStyle w:val="NormalWeb"/>
              <w:spacing w:before="0" w:beforeAutospacing="0" w:after="0" w:afterAutospacing="0"/>
              <w:jc w:val="center"/>
              <w:rPr>
                <w:b/>
                <w:bCs/>
                <w:sz w:val="20"/>
                <w:szCs w:val="20"/>
              </w:rPr>
            </w:pPr>
            <w:r>
              <w:rPr>
                <w:b/>
                <w:bCs/>
                <w:color w:val="000000"/>
                <w:sz w:val="20"/>
                <w:szCs w:val="20"/>
              </w:rPr>
              <w:t>Ouro</w:t>
            </w:r>
          </w:p>
        </w:tc>
        <w:tc>
          <w:tcPr>
            <w:tcW w:w="1274" w:type="dxa"/>
            <w:vAlign w:val="center"/>
            <w:hideMark/>
          </w:tcPr>
          <w:p w14:paraId="2286B580" w14:textId="77777777" w:rsidR="00E97DE6" w:rsidRDefault="00E97DE6" w:rsidP="002B6561">
            <w:pPr>
              <w:pStyle w:val="NormalWeb"/>
              <w:spacing w:before="0" w:beforeAutospacing="0" w:after="0" w:afterAutospacing="0"/>
              <w:jc w:val="center"/>
              <w:rPr>
                <w:sz w:val="20"/>
                <w:szCs w:val="20"/>
              </w:rPr>
            </w:pPr>
            <w:r>
              <w:rPr>
                <w:color w:val="000000"/>
                <w:sz w:val="20"/>
                <w:szCs w:val="20"/>
              </w:rPr>
              <w:t>Resiliência</w:t>
            </w:r>
          </w:p>
        </w:tc>
        <w:tc>
          <w:tcPr>
            <w:tcW w:w="2836" w:type="dxa"/>
            <w:vAlign w:val="center"/>
            <w:hideMark/>
          </w:tcPr>
          <w:p w14:paraId="24EDC73E" w14:textId="77777777" w:rsidR="00E97DE6" w:rsidRDefault="00E97DE6" w:rsidP="002B6561">
            <w:pPr>
              <w:pStyle w:val="NormalWeb"/>
              <w:spacing w:before="0" w:beforeAutospacing="0" w:after="0" w:afterAutospacing="0"/>
              <w:jc w:val="center"/>
              <w:rPr>
                <w:sz w:val="20"/>
                <w:szCs w:val="20"/>
              </w:rPr>
            </w:pPr>
            <w:r>
              <w:rPr>
                <w:color w:val="000000"/>
                <w:sz w:val="20"/>
                <w:szCs w:val="20"/>
              </w:rPr>
              <w:t>Explorar o conceito de resiliência, seus pilares e sua relação com o esporte de alto rendimento, como </w:t>
            </w:r>
          </w:p>
          <w:p w14:paraId="510163E6" w14:textId="77777777" w:rsidR="00E97DE6" w:rsidRDefault="00E97DE6" w:rsidP="002B6561">
            <w:pPr>
              <w:pStyle w:val="NormalWeb"/>
              <w:spacing w:before="0" w:beforeAutospacing="0" w:after="0" w:afterAutospacing="0"/>
              <w:jc w:val="center"/>
              <w:rPr>
                <w:sz w:val="20"/>
                <w:szCs w:val="20"/>
              </w:rPr>
            </w:pPr>
            <w:r>
              <w:rPr>
                <w:color w:val="000000"/>
                <w:sz w:val="20"/>
                <w:szCs w:val="20"/>
              </w:rPr>
              <w:t>isso se manifesta na sua trajetória e como fortalecer essa habilidade fundamental</w:t>
            </w:r>
          </w:p>
        </w:tc>
        <w:tc>
          <w:tcPr>
            <w:tcW w:w="1558" w:type="dxa"/>
            <w:vAlign w:val="center"/>
            <w:hideMark/>
          </w:tcPr>
          <w:p w14:paraId="3D62483F" w14:textId="77777777" w:rsidR="00E97DE6" w:rsidRDefault="00E97DE6" w:rsidP="002B6561">
            <w:pPr>
              <w:pStyle w:val="NormalWeb"/>
              <w:spacing w:before="0" w:beforeAutospacing="0" w:after="0" w:afterAutospacing="0"/>
              <w:jc w:val="center"/>
              <w:rPr>
                <w:sz w:val="20"/>
                <w:szCs w:val="20"/>
              </w:rPr>
            </w:pPr>
            <w:r>
              <w:rPr>
                <w:color w:val="000000"/>
                <w:sz w:val="20"/>
                <w:szCs w:val="20"/>
              </w:rPr>
              <w:t>Bicalho et al. (2022)</w:t>
            </w:r>
          </w:p>
        </w:tc>
        <w:tc>
          <w:tcPr>
            <w:tcW w:w="2268" w:type="dxa"/>
            <w:vAlign w:val="center"/>
            <w:hideMark/>
          </w:tcPr>
          <w:p w14:paraId="7E7A5C9E" w14:textId="77777777" w:rsidR="00E97DE6" w:rsidRDefault="00E97DE6" w:rsidP="002B6561">
            <w:pPr>
              <w:pStyle w:val="NormalWeb"/>
              <w:spacing w:before="0" w:beforeAutospacing="0" w:after="0" w:afterAutospacing="0"/>
              <w:jc w:val="center"/>
              <w:rPr>
                <w:sz w:val="20"/>
                <w:szCs w:val="20"/>
              </w:rPr>
            </w:pPr>
            <w:r>
              <w:rPr>
                <w:color w:val="000000"/>
                <w:sz w:val="20"/>
                <w:szCs w:val="20"/>
              </w:rPr>
              <w:t>Cinco Pilares da Resiliência</w:t>
            </w:r>
          </w:p>
        </w:tc>
      </w:tr>
      <w:tr w:rsidR="00E97DE6" w14:paraId="06ECAD8C" w14:textId="77777777" w:rsidTr="002B6561">
        <w:trPr>
          <w:jc w:val="center"/>
        </w:trPr>
        <w:tc>
          <w:tcPr>
            <w:tcW w:w="497" w:type="dxa"/>
            <w:vAlign w:val="center"/>
            <w:hideMark/>
          </w:tcPr>
          <w:p w14:paraId="324DED3E" w14:textId="77777777" w:rsidR="00E97DE6" w:rsidRDefault="00E97DE6" w:rsidP="002B6561">
            <w:pPr>
              <w:pStyle w:val="NormalWeb"/>
              <w:spacing w:before="0" w:beforeAutospacing="0" w:after="0" w:afterAutospacing="0"/>
              <w:jc w:val="center"/>
              <w:rPr>
                <w:b/>
                <w:bCs/>
                <w:sz w:val="20"/>
                <w:szCs w:val="20"/>
              </w:rPr>
            </w:pPr>
            <w:r>
              <w:rPr>
                <w:b/>
                <w:bCs/>
                <w:color w:val="000000"/>
                <w:sz w:val="20"/>
                <w:szCs w:val="20"/>
              </w:rPr>
              <w:t>4</w:t>
            </w:r>
          </w:p>
        </w:tc>
        <w:tc>
          <w:tcPr>
            <w:tcW w:w="1063" w:type="dxa"/>
            <w:vAlign w:val="center"/>
            <w:hideMark/>
          </w:tcPr>
          <w:p w14:paraId="72933D49" w14:textId="77777777" w:rsidR="00E97DE6" w:rsidRDefault="00E97DE6" w:rsidP="002B6561">
            <w:pPr>
              <w:pStyle w:val="NormalWeb"/>
              <w:spacing w:before="0" w:beforeAutospacing="0" w:after="0" w:afterAutospacing="0"/>
              <w:jc w:val="center"/>
              <w:rPr>
                <w:b/>
                <w:bCs/>
                <w:sz w:val="20"/>
                <w:szCs w:val="20"/>
              </w:rPr>
            </w:pPr>
            <w:r>
              <w:rPr>
                <w:b/>
                <w:bCs/>
                <w:color w:val="000000"/>
                <w:sz w:val="20"/>
                <w:szCs w:val="20"/>
              </w:rPr>
              <w:t>Ouro</w:t>
            </w:r>
          </w:p>
        </w:tc>
        <w:tc>
          <w:tcPr>
            <w:tcW w:w="1274" w:type="dxa"/>
            <w:vAlign w:val="center"/>
            <w:hideMark/>
          </w:tcPr>
          <w:p w14:paraId="15A30A97" w14:textId="77777777" w:rsidR="00E97DE6" w:rsidRDefault="00E97DE6" w:rsidP="002B6561">
            <w:pPr>
              <w:pStyle w:val="NormalWeb"/>
              <w:spacing w:before="0" w:beforeAutospacing="0" w:after="0" w:afterAutospacing="0"/>
              <w:jc w:val="center"/>
              <w:rPr>
                <w:sz w:val="20"/>
                <w:szCs w:val="20"/>
              </w:rPr>
            </w:pPr>
            <w:r>
              <w:rPr>
                <w:color w:val="000000"/>
                <w:sz w:val="20"/>
                <w:szCs w:val="20"/>
              </w:rPr>
              <w:t>Confiança</w:t>
            </w:r>
          </w:p>
        </w:tc>
        <w:tc>
          <w:tcPr>
            <w:tcW w:w="2836" w:type="dxa"/>
            <w:vAlign w:val="center"/>
            <w:hideMark/>
          </w:tcPr>
          <w:p w14:paraId="2AD9FA14" w14:textId="77777777" w:rsidR="00E97DE6" w:rsidRDefault="00E97DE6" w:rsidP="002B6561">
            <w:pPr>
              <w:pStyle w:val="NormalWeb"/>
              <w:spacing w:before="0" w:beforeAutospacing="0" w:after="0" w:afterAutospacing="0"/>
              <w:jc w:val="center"/>
              <w:rPr>
                <w:sz w:val="20"/>
                <w:szCs w:val="20"/>
              </w:rPr>
            </w:pPr>
            <w:r>
              <w:rPr>
                <w:color w:val="000000"/>
                <w:sz w:val="20"/>
                <w:szCs w:val="20"/>
              </w:rPr>
              <w:t>Fortalecer autoconfiança e autoeficácia e apresentar estratégias para performance</w:t>
            </w:r>
          </w:p>
        </w:tc>
        <w:tc>
          <w:tcPr>
            <w:tcW w:w="1558" w:type="dxa"/>
            <w:vAlign w:val="center"/>
            <w:hideMark/>
          </w:tcPr>
          <w:p w14:paraId="075BA617" w14:textId="77777777" w:rsidR="00E97DE6" w:rsidRDefault="00E97DE6" w:rsidP="002B6561">
            <w:pPr>
              <w:pStyle w:val="NormalWeb"/>
              <w:spacing w:before="0" w:beforeAutospacing="0" w:after="0" w:afterAutospacing="0"/>
              <w:jc w:val="center"/>
              <w:rPr>
                <w:sz w:val="20"/>
                <w:szCs w:val="20"/>
              </w:rPr>
            </w:pPr>
            <w:r>
              <w:rPr>
                <w:color w:val="000000"/>
                <w:sz w:val="20"/>
                <w:szCs w:val="20"/>
              </w:rPr>
              <w:t>Bandura (1997); Vealey &amp; Chase (2008)</w:t>
            </w:r>
          </w:p>
        </w:tc>
        <w:tc>
          <w:tcPr>
            <w:tcW w:w="2268" w:type="dxa"/>
            <w:vAlign w:val="center"/>
            <w:hideMark/>
          </w:tcPr>
          <w:p w14:paraId="61FF6525" w14:textId="77777777" w:rsidR="00E97DE6" w:rsidRDefault="00E97DE6" w:rsidP="002B6561">
            <w:pPr>
              <w:pStyle w:val="NormalWeb"/>
              <w:spacing w:before="0" w:beforeAutospacing="0" w:after="0" w:afterAutospacing="0"/>
              <w:jc w:val="center"/>
              <w:rPr>
                <w:color w:val="000000"/>
                <w:sz w:val="20"/>
                <w:szCs w:val="20"/>
              </w:rPr>
            </w:pPr>
            <w:r>
              <w:rPr>
                <w:color w:val="000000"/>
                <w:sz w:val="20"/>
                <w:szCs w:val="20"/>
              </w:rPr>
              <w:t>Autoconfiança e autoeficácia;</w:t>
            </w:r>
          </w:p>
          <w:p w14:paraId="1DD81D67" w14:textId="77777777" w:rsidR="00E97DE6" w:rsidRDefault="00E97DE6" w:rsidP="002B6561">
            <w:pPr>
              <w:pStyle w:val="NormalWeb"/>
              <w:spacing w:before="0" w:beforeAutospacing="0" w:after="0" w:afterAutospacing="0"/>
              <w:jc w:val="center"/>
              <w:rPr>
                <w:sz w:val="20"/>
                <w:szCs w:val="20"/>
              </w:rPr>
            </w:pPr>
            <w:r>
              <w:rPr>
                <w:sz w:val="20"/>
                <w:szCs w:val="20"/>
              </w:rPr>
              <w:t>Fontes de autoeficácia</w:t>
            </w:r>
          </w:p>
        </w:tc>
      </w:tr>
      <w:tr w:rsidR="00E97DE6" w14:paraId="073ECE81" w14:textId="77777777" w:rsidTr="002B6561">
        <w:trPr>
          <w:jc w:val="center"/>
        </w:trPr>
        <w:tc>
          <w:tcPr>
            <w:tcW w:w="497" w:type="dxa"/>
            <w:vAlign w:val="center"/>
            <w:hideMark/>
          </w:tcPr>
          <w:p w14:paraId="40CA7F05" w14:textId="77777777" w:rsidR="00E97DE6" w:rsidRDefault="00E97DE6" w:rsidP="002B6561">
            <w:pPr>
              <w:pStyle w:val="NormalWeb"/>
              <w:spacing w:before="0" w:beforeAutospacing="0" w:after="0" w:afterAutospacing="0"/>
              <w:jc w:val="center"/>
              <w:rPr>
                <w:b/>
                <w:bCs/>
                <w:sz w:val="20"/>
                <w:szCs w:val="20"/>
              </w:rPr>
            </w:pPr>
            <w:r>
              <w:rPr>
                <w:b/>
                <w:bCs/>
                <w:color w:val="000000"/>
                <w:sz w:val="20"/>
                <w:szCs w:val="20"/>
              </w:rPr>
              <w:t>5</w:t>
            </w:r>
          </w:p>
        </w:tc>
        <w:tc>
          <w:tcPr>
            <w:tcW w:w="1063" w:type="dxa"/>
            <w:vAlign w:val="center"/>
            <w:hideMark/>
          </w:tcPr>
          <w:p w14:paraId="3377AE45" w14:textId="77777777" w:rsidR="00E97DE6" w:rsidRDefault="00E97DE6" w:rsidP="002B6561">
            <w:pPr>
              <w:pStyle w:val="NormalWeb"/>
              <w:spacing w:before="0" w:beforeAutospacing="0" w:after="0" w:afterAutospacing="0"/>
              <w:jc w:val="center"/>
              <w:rPr>
                <w:b/>
                <w:bCs/>
                <w:sz w:val="20"/>
                <w:szCs w:val="20"/>
              </w:rPr>
            </w:pPr>
            <w:r>
              <w:rPr>
                <w:b/>
                <w:bCs/>
                <w:color w:val="000000"/>
                <w:sz w:val="20"/>
                <w:szCs w:val="20"/>
              </w:rPr>
              <w:t>Prata</w:t>
            </w:r>
          </w:p>
        </w:tc>
        <w:tc>
          <w:tcPr>
            <w:tcW w:w="1274" w:type="dxa"/>
            <w:vAlign w:val="center"/>
            <w:hideMark/>
          </w:tcPr>
          <w:p w14:paraId="11656389" w14:textId="77777777" w:rsidR="00E97DE6" w:rsidRDefault="00E97DE6" w:rsidP="002B6561">
            <w:pPr>
              <w:pStyle w:val="NormalWeb"/>
              <w:spacing w:before="0" w:beforeAutospacing="0" w:after="0" w:afterAutospacing="0"/>
              <w:jc w:val="center"/>
              <w:rPr>
                <w:sz w:val="20"/>
                <w:szCs w:val="20"/>
              </w:rPr>
            </w:pPr>
            <w:r>
              <w:rPr>
                <w:color w:val="000000"/>
                <w:sz w:val="20"/>
                <w:szCs w:val="20"/>
              </w:rPr>
              <w:t>Autoconhe</w:t>
            </w:r>
            <w:r w:rsidR="002B6561">
              <w:rPr>
                <w:color w:val="000000"/>
                <w:sz w:val="20"/>
                <w:szCs w:val="20"/>
              </w:rPr>
              <w:t>-</w:t>
            </w:r>
            <w:r>
              <w:rPr>
                <w:color w:val="000000"/>
                <w:sz w:val="20"/>
                <w:szCs w:val="20"/>
              </w:rPr>
              <w:t>cimento </w:t>
            </w:r>
          </w:p>
        </w:tc>
        <w:tc>
          <w:tcPr>
            <w:tcW w:w="2836" w:type="dxa"/>
            <w:vAlign w:val="center"/>
            <w:hideMark/>
          </w:tcPr>
          <w:p w14:paraId="79A849C5" w14:textId="77777777" w:rsidR="00E97DE6" w:rsidRDefault="00E97DE6" w:rsidP="002B6561">
            <w:pPr>
              <w:pStyle w:val="NormalWeb"/>
              <w:spacing w:before="0" w:beforeAutospacing="0" w:after="0" w:afterAutospacing="0"/>
              <w:jc w:val="center"/>
              <w:rPr>
                <w:sz w:val="20"/>
                <w:szCs w:val="20"/>
              </w:rPr>
            </w:pPr>
            <w:r>
              <w:rPr>
                <w:color w:val="000000"/>
                <w:sz w:val="20"/>
                <w:szCs w:val="20"/>
              </w:rPr>
              <w:t>Entender a importância de se conhecer e como utilizar suas características a seu favor</w:t>
            </w:r>
          </w:p>
        </w:tc>
        <w:tc>
          <w:tcPr>
            <w:tcW w:w="1558" w:type="dxa"/>
            <w:vAlign w:val="center"/>
            <w:hideMark/>
          </w:tcPr>
          <w:p w14:paraId="482303F3" w14:textId="77777777" w:rsidR="00E97DE6" w:rsidRDefault="00E97DE6" w:rsidP="002B6561">
            <w:pPr>
              <w:pStyle w:val="NormalWeb"/>
              <w:spacing w:before="0" w:beforeAutospacing="0" w:after="0" w:afterAutospacing="0"/>
              <w:jc w:val="center"/>
              <w:rPr>
                <w:sz w:val="20"/>
                <w:szCs w:val="20"/>
              </w:rPr>
            </w:pPr>
            <w:r>
              <w:rPr>
                <w:color w:val="000000"/>
                <w:sz w:val="20"/>
                <w:szCs w:val="20"/>
              </w:rPr>
              <w:t>Tajfel (1978); Erikson (1987); Brewer (2023)</w:t>
            </w:r>
          </w:p>
        </w:tc>
        <w:tc>
          <w:tcPr>
            <w:tcW w:w="2268" w:type="dxa"/>
            <w:vAlign w:val="center"/>
            <w:hideMark/>
          </w:tcPr>
          <w:p w14:paraId="025B6503" w14:textId="77777777" w:rsidR="00E97DE6" w:rsidRDefault="00E97DE6" w:rsidP="002B6561">
            <w:pPr>
              <w:pStyle w:val="NormalWeb"/>
              <w:spacing w:before="0" w:beforeAutospacing="0" w:after="0" w:afterAutospacing="0"/>
              <w:jc w:val="center"/>
              <w:rPr>
                <w:sz w:val="20"/>
                <w:szCs w:val="20"/>
              </w:rPr>
            </w:pPr>
            <w:r>
              <w:rPr>
                <w:color w:val="000000"/>
                <w:sz w:val="20"/>
                <w:szCs w:val="20"/>
              </w:rPr>
              <w:t>Múltiplas identidades</w:t>
            </w:r>
          </w:p>
        </w:tc>
      </w:tr>
      <w:tr w:rsidR="00E97DE6" w14:paraId="14BEB03B" w14:textId="77777777" w:rsidTr="002B6561">
        <w:trPr>
          <w:jc w:val="center"/>
        </w:trPr>
        <w:tc>
          <w:tcPr>
            <w:tcW w:w="497" w:type="dxa"/>
            <w:vAlign w:val="center"/>
            <w:hideMark/>
          </w:tcPr>
          <w:p w14:paraId="0F84D700" w14:textId="77777777" w:rsidR="00E97DE6" w:rsidRDefault="00E97DE6" w:rsidP="002B6561">
            <w:pPr>
              <w:pStyle w:val="NormalWeb"/>
              <w:spacing w:before="0" w:beforeAutospacing="0" w:after="0" w:afterAutospacing="0"/>
              <w:jc w:val="center"/>
              <w:rPr>
                <w:b/>
                <w:bCs/>
                <w:sz w:val="20"/>
                <w:szCs w:val="20"/>
              </w:rPr>
            </w:pPr>
            <w:r>
              <w:rPr>
                <w:b/>
                <w:bCs/>
                <w:color w:val="000000"/>
                <w:sz w:val="20"/>
                <w:szCs w:val="20"/>
              </w:rPr>
              <w:t>6</w:t>
            </w:r>
          </w:p>
        </w:tc>
        <w:tc>
          <w:tcPr>
            <w:tcW w:w="1063" w:type="dxa"/>
            <w:vAlign w:val="center"/>
            <w:hideMark/>
          </w:tcPr>
          <w:p w14:paraId="7638E4F1" w14:textId="77777777" w:rsidR="00E97DE6" w:rsidRDefault="00E97DE6" w:rsidP="002B6561">
            <w:pPr>
              <w:pStyle w:val="NormalWeb"/>
              <w:spacing w:before="0" w:beforeAutospacing="0" w:after="0" w:afterAutospacing="0"/>
              <w:jc w:val="center"/>
              <w:rPr>
                <w:b/>
                <w:bCs/>
                <w:sz w:val="20"/>
                <w:szCs w:val="20"/>
              </w:rPr>
            </w:pPr>
            <w:r>
              <w:rPr>
                <w:b/>
                <w:bCs/>
                <w:color w:val="000000"/>
                <w:sz w:val="20"/>
                <w:szCs w:val="20"/>
              </w:rPr>
              <w:t>Prata</w:t>
            </w:r>
          </w:p>
        </w:tc>
        <w:tc>
          <w:tcPr>
            <w:tcW w:w="1274" w:type="dxa"/>
            <w:vAlign w:val="center"/>
            <w:hideMark/>
          </w:tcPr>
          <w:p w14:paraId="7FB3ED37" w14:textId="77777777" w:rsidR="00E97DE6" w:rsidRDefault="00E97DE6" w:rsidP="002B6561">
            <w:pPr>
              <w:pStyle w:val="NormalWeb"/>
              <w:spacing w:before="0" w:beforeAutospacing="0" w:after="0" w:afterAutospacing="0"/>
              <w:jc w:val="center"/>
              <w:rPr>
                <w:sz w:val="20"/>
                <w:szCs w:val="20"/>
              </w:rPr>
            </w:pPr>
            <w:r>
              <w:rPr>
                <w:color w:val="000000"/>
                <w:sz w:val="20"/>
                <w:szCs w:val="20"/>
              </w:rPr>
              <w:t>Gestão de Estresse</w:t>
            </w:r>
          </w:p>
        </w:tc>
        <w:tc>
          <w:tcPr>
            <w:tcW w:w="2836" w:type="dxa"/>
            <w:vAlign w:val="center"/>
            <w:hideMark/>
          </w:tcPr>
          <w:p w14:paraId="34A06293" w14:textId="77777777" w:rsidR="00E97DE6" w:rsidRDefault="00E97DE6" w:rsidP="002B6561">
            <w:pPr>
              <w:pStyle w:val="NormalWeb"/>
              <w:spacing w:before="0" w:beforeAutospacing="0" w:after="0" w:afterAutospacing="0"/>
              <w:jc w:val="center"/>
              <w:rPr>
                <w:sz w:val="20"/>
                <w:szCs w:val="20"/>
              </w:rPr>
            </w:pPr>
            <w:r>
              <w:rPr>
                <w:color w:val="000000"/>
                <w:sz w:val="20"/>
                <w:szCs w:val="20"/>
              </w:rPr>
              <w:t>Entender, identificar e aprender a gerir estressores. Explorar estratégias de enfrentamento (</w:t>
            </w:r>
            <w:r>
              <w:rPr>
                <w:i/>
                <w:iCs/>
                <w:color w:val="000000"/>
                <w:sz w:val="20"/>
                <w:szCs w:val="20"/>
              </w:rPr>
              <w:t>coping</w:t>
            </w:r>
            <w:r>
              <w:rPr>
                <w:color w:val="000000"/>
                <w:sz w:val="20"/>
                <w:szCs w:val="20"/>
              </w:rPr>
              <w:t>) e utilizar a técnica de visualização como estratégia de manejo do estresse</w:t>
            </w:r>
          </w:p>
        </w:tc>
        <w:tc>
          <w:tcPr>
            <w:tcW w:w="1558" w:type="dxa"/>
            <w:vAlign w:val="center"/>
            <w:hideMark/>
          </w:tcPr>
          <w:p w14:paraId="07F2642B" w14:textId="77777777" w:rsidR="00E97DE6" w:rsidRPr="009827F3" w:rsidRDefault="00E97DE6" w:rsidP="002B6561">
            <w:pPr>
              <w:pStyle w:val="NormalWeb"/>
              <w:spacing w:before="0" w:beforeAutospacing="0" w:after="0" w:afterAutospacing="0"/>
              <w:jc w:val="center"/>
              <w:rPr>
                <w:sz w:val="20"/>
                <w:szCs w:val="20"/>
                <w:lang w:val="en-US"/>
              </w:rPr>
            </w:pPr>
            <w:r w:rsidRPr="009827F3">
              <w:rPr>
                <w:color w:val="000000"/>
                <w:sz w:val="20"/>
                <w:szCs w:val="20"/>
                <w:lang w:val="en-US"/>
              </w:rPr>
              <w:t>McEwen (2007);</w:t>
            </w:r>
            <w:r w:rsidRPr="009827F3">
              <w:rPr>
                <w:sz w:val="20"/>
                <w:szCs w:val="20"/>
                <w:lang w:val="en-US"/>
              </w:rPr>
              <w:t xml:space="preserve"> </w:t>
            </w:r>
            <w:r w:rsidRPr="009827F3">
              <w:rPr>
                <w:color w:val="000000"/>
                <w:sz w:val="20"/>
                <w:szCs w:val="20"/>
                <w:lang w:val="en-US"/>
              </w:rPr>
              <w:t>Nicholls &amp; Polman (2007); Fletcher &amp; Scott (2010)</w:t>
            </w:r>
          </w:p>
        </w:tc>
        <w:tc>
          <w:tcPr>
            <w:tcW w:w="2268" w:type="dxa"/>
            <w:vAlign w:val="center"/>
            <w:hideMark/>
          </w:tcPr>
          <w:p w14:paraId="78F97306" w14:textId="77777777" w:rsidR="00E97DE6" w:rsidRDefault="00E97DE6" w:rsidP="002B6561">
            <w:pPr>
              <w:pStyle w:val="NormalWeb"/>
              <w:spacing w:before="0" w:beforeAutospacing="0" w:after="0" w:afterAutospacing="0"/>
              <w:jc w:val="center"/>
              <w:rPr>
                <w:color w:val="000000"/>
                <w:sz w:val="20"/>
                <w:szCs w:val="20"/>
              </w:rPr>
            </w:pPr>
            <w:r>
              <w:rPr>
                <w:color w:val="000000"/>
                <w:sz w:val="20"/>
                <w:szCs w:val="20"/>
              </w:rPr>
              <w:t xml:space="preserve">Eustresse </w:t>
            </w:r>
            <w:r>
              <w:rPr>
                <w:i/>
                <w:iCs/>
                <w:color w:val="000000"/>
                <w:sz w:val="20"/>
                <w:szCs w:val="20"/>
              </w:rPr>
              <w:t>versus</w:t>
            </w:r>
            <w:r>
              <w:rPr>
                <w:color w:val="000000"/>
                <w:sz w:val="20"/>
                <w:szCs w:val="20"/>
              </w:rPr>
              <w:t xml:space="preserve"> Distresse; Ciclo do Estresse; Recursos de </w:t>
            </w:r>
            <w:r>
              <w:rPr>
                <w:i/>
                <w:iCs/>
                <w:color w:val="000000"/>
                <w:sz w:val="20"/>
                <w:szCs w:val="20"/>
              </w:rPr>
              <w:t>Coping</w:t>
            </w:r>
          </w:p>
        </w:tc>
      </w:tr>
      <w:tr w:rsidR="00E97DE6" w14:paraId="677E0FAD" w14:textId="77777777" w:rsidTr="002B6561">
        <w:trPr>
          <w:jc w:val="center"/>
        </w:trPr>
        <w:tc>
          <w:tcPr>
            <w:tcW w:w="497" w:type="dxa"/>
            <w:vAlign w:val="center"/>
            <w:hideMark/>
          </w:tcPr>
          <w:p w14:paraId="727B956E" w14:textId="77777777" w:rsidR="00E97DE6" w:rsidRDefault="00E97DE6" w:rsidP="002B6561">
            <w:pPr>
              <w:pStyle w:val="NormalWeb"/>
              <w:spacing w:before="0" w:beforeAutospacing="0" w:after="0" w:afterAutospacing="0"/>
              <w:jc w:val="center"/>
              <w:rPr>
                <w:b/>
                <w:bCs/>
                <w:sz w:val="20"/>
                <w:szCs w:val="20"/>
              </w:rPr>
            </w:pPr>
            <w:r>
              <w:rPr>
                <w:b/>
                <w:bCs/>
                <w:color w:val="000000"/>
                <w:sz w:val="20"/>
                <w:szCs w:val="20"/>
              </w:rPr>
              <w:t>7</w:t>
            </w:r>
          </w:p>
        </w:tc>
        <w:tc>
          <w:tcPr>
            <w:tcW w:w="1063" w:type="dxa"/>
            <w:vAlign w:val="center"/>
            <w:hideMark/>
          </w:tcPr>
          <w:p w14:paraId="0A20A08A" w14:textId="77777777" w:rsidR="00E97DE6" w:rsidRDefault="00E97DE6" w:rsidP="002B6561">
            <w:pPr>
              <w:pStyle w:val="NormalWeb"/>
              <w:spacing w:before="0" w:beforeAutospacing="0" w:after="0" w:afterAutospacing="0"/>
              <w:jc w:val="center"/>
              <w:rPr>
                <w:b/>
                <w:bCs/>
                <w:sz w:val="20"/>
                <w:szCs w:val="20"/>
              </w:rPr>
            </w:pPr>
            <w:r>
              <w:rPr>
                <w:b/>
                <w:bCs/>
                <w:color w:val="000000"/>
                <w:sz w:val="20"/>
                <w:szCs w:val="20"/>
              </w:rPr>
              <w:t>Prata</w:t>
            </w:r>
          </w:p>
        </w:tc>
        <w:tc>
          <w:tcPr>
            <w:tcW w:w="1274" w:type="dxa"/>
            <w:vAlign w:val="center"/>
            <w:hideMark/>
          </w:tcPr>
          <w:p w14:paraId="20BB801D" w14:textId="77777777" w:rsidR="00E97DE6" w:rsidRDefault="00E97DE6" w:rsidP="002B6561">
            <w:pPr>
              <w:pStyle w:val="NormalWeb"/>
              <w:spacing w:before="0" w:beforeAutospacing="0" w:after="0" w:afterAutospacing="0"/>
              <w:jc w:val="center"/>
              <w:rPr>
                <w:sz w:val="20"/>
                <w:szCs w:val="20"/>
              </w:rPr>
            </w:pPr>
            <w:r>
              <w:rPr>
                <w:color w:val="000000"/>
                <w:sz w:val="20"/>
                <w:szCs w:val="20"/>
              </w:rPr>
              <w:t>Emoção e Ativação</w:t>
            </w:r>
          </w:p>
        </w:tc>
        <w:tc>
          <w:tcPr>
            <w:tcW w:w="2836" w:type="dxa"/>
            <w:vAlign w:val="center"/>
            <w:hideMark/>
          </w:tcPr>
          <w:p w14:paraId="542E91EE" w14:textId="77777777" w:rsidR="00E97DE6" w:rsidRDefault="00E97DE6" w:rsidP="002B6561">
            <w:pPr>
              <w:pStyle w:val="NormalWeb"/>
              <w:spacing w:before="0" w:beforeAutospacing="0" w:after="0" w:afterAutospacing="0"/>
              <w:jc w:val="center"/>
              <w:rPr>
                <w:sz w:val="20"/>
                <w:szCs w:val="20"/>
              </w:rPr>
            </w:pPr>
            <w:r>
              <w:rPr>
                <w:color w:val="000000"/>
                <w:sz w:val="20"/>
                <w:szCs w:val="20"/>
              </w:rPr>
              <w:t>Explorar como emoções e níveis de energia influenciam diretamente a performance esportiva. Aprender a reconhecer e regular as emoções para alcançar o melhor desempenho</w:t>
            </w:r>
          </w:p>
        </w:tc>
        <w:tc>
          <w:tcPr>
            <w:tcW w:w="1558" w:type="dxa"/>
            <w:vAlign w:val="center"/>
            <w:hideMark/>
          </w:tcPr>
          <w:p w14:paraId="19A1368C" w14:textId="77777777" w:rsidR="00E97DE6" w:rsidRPr="009827F3" w:rsidRDefault="00E97DE6" w:rsidP="002B6561">
            <w:pPr>
              <w:pStyle w:val="NormalWeb"/>
              <w:spacing w:before="0" w:beforeAutospacing="0" w:after="0" w:afterAutospacing="0"/>
              <w:jc w:val="center"/>
              <w:rPr>
                <w:sz w:val="20"/>
                <w:szCs w:val="20"/>
                <w:lang w:val="en-US"/>
              </w:rPr>
            </w:pPr>
            <w:r w:rsidRPr="009827F3">
              <w:rPr>
                <w:color w:val="000000"/>
                <w:sz w:val="20"/>
                <w:szCs w:val="20"/>
                <w:lang w:val="en-US"/>
              </w:rPr>
              <w:t>Gross (2015);</w:t>
            </w:r>
            <w:r w:rsidRPr="009827F3">
              <w:rPr>
                <w:sz w:val="20"/>
                <w:szCs w:val="20"/>
                <w:lang w:val="en-US"/>
              </w:rPr>
              <w:t xml:space="preserve"> </w:t>
            </w:r>
            <w:r w:rsidRPr="009827F3">
              <w:rPr>
                <w:color w:val="000000"/>
                <w:sz w:val="20"/>
                <w:szCs w:val="20"/>
                <w:lang w:val="en-US"/>
              </w:rPr>
              <w:t>Ruiz, Raglin &amp; Hanin (2015); Weinberg &amp; Gould (2017)</w:t>
            </w:r>
          </w:p>
        </w:tc>
        <w:tc>
          <w:tcPr>
            <w:tcW w:w="2268" w:type="dxa"/>
            <w:vAlign w:val="center"/>
            <w:hideMark/>
          </w:tcPr>
          <w:p w14:paraId="58B65F97" w14:textId="77777777" w:rsidR="00E97DE6" w:rsidRDefault="00E97DE6" w:rsidP="002B6561">
            <w:pPr>
              <w:pStyle w:val="NormalWeb"/>
              <w:spacing w:before="0" w:beforeAutospacing="0" w:after="0" w:afterAutospacing="0"/>
              <w:jc w:val="center"/>
              <w:rPr>
                <w:color w:val="000000"/>
                <w:sz w:val="20"/>
                <w:szCs w:val="20"/>
              </w:rPr>
            </w:pPr>
            <w:r>
              <w:rPr>
                <w:color w:val="000000"/>
                <w:sz w:val="20"/>
                <w:szCs w:val="20"/>
              </w:rPr>
              <w:t xml:space="preserve">Inteligência emocional; </w:t>
            </w:r>
            <w:r>
              <w:rPr>
                <w:i/>
                <w:iCs/>
                <w:color w:val="000000"/>
                <w:sz w:val="20"/>
                <w:szCs w:val="20"/>
              </w:rPr>
              <w:t>Continuum</w:t>
            </w:r>
            <w:r>
              <w:rPr>
                <w:color w:val="000000"/>
                <w:sz w:val="20"/>
                <w:szCs w:val="20"/>
              </w:rPr>
              <w:t xml:space="preserve"> e nível de ativação e relaxamento; Zona de Funcionamento Ótimo (IZOF)</w:t>
            </w:r>
          </w:p>
        </w:tc>
      </w:tr>
      <w:tr w:rsidR="00E97DE6" w14:paraId="7242088D" w14:textId="77777777" w:rsidTr="002B6561">
        <w:trPr>
          <w:jc w:val="center"/>
        </w:trPr>
        <w:tc>
          <w:tcPr>
            <w:tcW w:w="497" w:type="dxa"/>
            <w:vAlign w:val="center"/>
            <w:hideMark/>
          </w:tcPr>
          <w:p w14:paraId="6A2C484C" w14:textId="77777777" w:rsidR="00E97DE6" w:rsidRDefault="00E97DE6" w:rsidP="002B6561">
            <w:pPr>
              <w:pStyle w:val="NormalWeb"/>
              <w:spacing w:before="0" w:beforeAutospacing="0" w:after="0" w:afterAutospacing="0"/>
              <w:jc w:val="center"/>
              <w:rPr>
                <w:b/>
                <w:bCs/>
                <w:sz w:val="20"/>
                <w:szCs w:val="20"/>
              </w:rPr>
            </w:pPr>
            <w:r>
              <w:rPr>
                <w:b/>
                <w:bCs/>
                <w:color w:val="000000"/>
                <w:sz w:val="20"/>
                <w:szCs w:val="20"/>
              </w:rPr>
              <w:t>8</w:t>
            </w:r>
          </w:p>
        </w:tc>
        <w:tc>
          <w:tcPr>
            <w:tcW w:w="1063" w:type="dxa"/>
            <w:vAlign w:val="center"/>
            <w:hideMark/>
          </w:tcPr>
          <w:p w14:paraId="3FDE6D64" w14:textId="77777777" w:rsidR="00E97DE6" w:rsidRDefault="00E97DE6" w:rsidP="002B6561">
            <w:pPr>
              <w:pStyle w:val="NormalWeb"/>
              <w:spacing w:before="0" w:beforeAutospacing="0" w:after="0" w:afterAutospacing="0"/>
              <w:jc w:val="center"/>
              <w:rPr>
                <w:b/>
                <w:bCs/>
                <w:sz w:val="20"/>
                <w:szCs w:val="20"/>
              </w:rPr>
            </w:pPr>
            <w:r>
              <w:rPr>
                <w:b/>
                <w:bCs/>
                <w:color w:val="000000"/>
                <w:sz w:val="20"/>
                <w:szCs w:val="20"/>
              </w:rPr>
              <w:t>Prata</w:t>
            </w:r>
          </w:p>
        </w:tc>
        <w:tc>
          <w:tcPr>
            <w:tcW w:w="1274" w:type="dxa"/>
            <w:vAlign w:val="center"/>
            <w:hideMark/>
          </w:tcPr>
          <w:p w14:paraId="531770BD" w14:textId="77777777" w:rsidR="00E97DE6" w:rsidRDefault="00E97DE6" w:rsidP="002B6561">
            <w:pPr>
              <w:pStyle w:val="NormalWeb"/>
              <w:spacing w:before="0" w:beforeAutospacing="0" w:after="0" w:afterAutospacing="0"/>
              <w:jc w:val="center"/>
              <w:rPr>
                <w:sz w:val="20"/>
                <w:szCs w:val="20"/>
              </w:rPr>
            </w:pPr>
            <w:r>
              <w:rPr>
                <w:color w:val="000000"/>
                <w:sz w:val="20"/>
                <w:szCs w:val="20"/>
              </w:rPr>
              <w:t>Controle da Atenção</w:t>
            </w:r>
          </w:p>
        </w:tc>
        <w:tc>
          <w:tcPr>
            <w:tcW w:w="2836" w:type="dxa"/>
            <w:vAlign w:val="center"/>
            <w:hideMark/>
          </w:tcPr>
          <w:p w14:paraId="454CF394" w14:textId="77777777" w:rsidR="00E97DE6" w:rsidRDefault="00E97DE6" w:rsidP="002B6561">
            <w:pPr>
              <w:pStyle w:val="NormalWeb"/>
              <w:spacing w:before="0" w:beforeAutospacing="0" w:after="0" w:afterAutospacing="0"/>
              <w:jc w:val="center"/>
              <w:rPr>
                <w:sz w:val="20"/>
                <w:szCs w:val="20"/>
              </w:rPr>
            </w:pPr>
            <w:r>
              <w:rPr>
                <w:color w:val="000000"/>
                <w:sz w:val="20"/>
                <w:szCs w:val="20"/>
              </w:rPr>
              <w:t>Conhecer o funcionamento da atenção e explorar formas de aproveitar melhor a concentração</w:t>
            </w:r>
          </w:p>
        </w:tc>
        <w:tc>
          <w:tcPr>
            <w:tcW w:w="1558" w:type="dxa"/>
            <w:vAlign w:val="center"/>
            <w:hideMark/>
          </w:tcPr>
          <w:p w14:paraId="34294457" w14:textId="77777777" w:rsidR="00E97DE6" w:rsidRDefault="00E97DE6" w:rsidP="002B6561">
            <w:pPr>
              <w:pStyle w:val="NormalWeb"/>
              <w:spacing w:before="0" w:beforeAutospacing="0" w:after="0" w:afterAutospacing="0"/>
              <w:jc w:val="center"/>
              <w:rPr>
                <w:sz w:val="20"/>
                <w:szCs w:val="20"/>
              </w:rPr>
            </w:pPr>
            <w:r>
              <w:rPr>
                <w:color w:val="000000"/>
                <w:sz w:val="20"/>
                <w:szCs w:val="20"/>
              </w:rPr>
              <w:t>Nideffer (1976); Boutcher (2002);</w:t>
            </w:r>
            <w:r>
              <w:rPr>
                <w:sz w:val="20"/>
                <w:szCs w:val="20"/>
              </w:rPr>
              <w:t xml:space="preserve"> </w:t>
            </w:r>
            <w:r>
              <w:rPr>
                <w:color w:val="000000"/>
                <w:sz w:val="20"/>
                <w:szCs w:val="20"/>
              </w:rPr>
              <w:t>Weinberg &amp; Gould (2017)</w:t>
            </w:r>
          </w:p>
        </w:tc>
        <w:tc>
          <w:tcPr>
            <w:tcW w:w="2268" w:type="dxa"/>
            <w:vAlign w:val="center"/>
            <w:hideMark/>
          </w:tcPr>
          <w:p w14:paraId="2E2F93B3" w14:textId="77777777" w:rsidR="00E97DE6" w:rsidRDefault="00E97DE6" w:rsidP="002B6561">
            <w:pPr>
              <w:pStyle w:val="NormalWeb"/>
              <w:spacing w:before="0" w:beforeAutospacing="0" w:after="0" w:afterAutospacing="0"/>
              <w:jc w:val="center"/>
              <w:rPr>
                <w:sz w:val="20"/>
                <w:szCs w:val="20"/>
              </w:rPr>
            </w:pPr>
            <w:r>
              <w:rPr>
                <w:color w:val="000000"/>
                <w:sz w:val="20"/>
                <w:szCs w:val="20"/>
              </w:rPr>
              <w:t>Modelo de Foco Atencional; Atenção, concentração e foco</w:t>
            </w:r>
          </w:p>
        </w:tc>
      </w:tr>
      <w:tr w:rsidR="00E97DE6" w14:paraId="1CA49423" w14:textId="77777777" w:rsidTr="002B6561">
        <w:trPr>
          <w:jc w:val="center"/>
        </w:trPr>
        <w:tc>
          <w:tcPr>
            <w:tcW w:w="497" w:type="dxa"/>
            <w:vAlign w:val="center"/>
            <w:hideMark/>
          </w:tcPr>
          <w:p w14:paraId="6A4EF0D9" w14:textId="77777777" w:rsidR="00E97DE6" w:rsidRDefault="00E97DE6" w:rsidP="002B6561">
            <w:pPr>
              <w:pStyle w:val="NormalWeb"/>
              <w:spacing w:before="0" w:beforeAutospacing="0" w:after="0" w:afterAutospacing="0"/>
              <w:jc w:val="center"/>
              <w:rPr>
                <w:b/>
                <w:bCs/>
                <w:sz w:val="20"/>
                <w:szCs w:val="20"/>
              </w:rPr>
            </w:pPr>
            <w:r>
              <w:rPr>
                <w:b/>
                <w:bCs/>
                <w:color w:val="000000"/>
                <w:sz w:val="20"/>
                <w:szCs w:val="20"/>
              </w:rPr>
              <w:t>9</w:t>
            </w:r>
          </w:p>
        </w:tc>
        <w:tc>
          <w:tcPr>
            <w:tcW w:w="1063" w:type="dxa"/>
            <w:vAlign w:val="center"/>
            <w:hideMark/>
          </w:tcPr>
          <w:p w14:paraId="717A96C3" w14:textId="77777777" w:rsidR="00E97DE6" w:rsidRDefault="00E97DE6" w:rsidP="002B6561">
            <w:pPr>
              <w:pStyle w:val="NormalWeb"/>
              <w:spacing w:before="0" w:beforeAutospacing="0" w:after="0" w:afterAutospacing="0"/>
              <w:jc w:val="center"/>
              <w:rPr>
                <w:b/>
                <w:bCs/>
                <w:sz w:val="20"/>
                <w:szCs w:val="20"/>
              </w:rPr>
            </w:pPr>
            <w:r>
              <w:rPr>
                <w:b/>
                <w:bCs/>
                <w:color w:val="000000"/>
                <w:sz w:val="20"/>
                <w:szCs w:val="20"/>
              </w:rPr>
              <w:t>Bronze</w:t>
            </w:r>
          </w:p>
        </w:tc>
        <w:tc>
          <w:tcPr>
            <w:tcW w:w="1274" w:type="dxa"/>
            <w:vAlign w:val="center"/>
            <w:hideMark/>
          </w:tcPr>
          <w:p w14:paraId="06F6A031" w14:textId="77777777" w:rsidR="00E97DE6" w:rsidRDefault="00E97DE6" w:rsidP="002B6561">
            <w:pPr>
              <w:pStyle w:val="NormalWeb"/>
              <w:spacing w:before="0" w:beforeAutospacing="0" w:after="0" w:afterAutospacing="0"/>
              <w:jc w:val="center"/>
              <w:rPr>
                <w:sz w:val="20"/>
                <w:szCs w:val="20"/>
              </w:rPr>
            </w:pPr>
            <w:r>
              <w:rPr>
                <w:color w:val="000000"/>
                <w:sz w:val="20"/>
                <w:szCs w:val="20"/>
              </w:rPr>
              <w:t>Relação Treinador-Atleta</w:t>
            </w:r>
          </w:p>
        </w:tc>
        <w:tc>
          <w:tcPr>
            <w:tcW w:w="2836" w:type="dxa"/>
            <w:vAlign w:val="center"/>
            <w:hideMark/>
          </w:tcPr>
          <w:p w14:paraId="3E6C3A1D" w14:textId="77777777" w:rsidR="00E97DE6" w:rsidRDefault="00E97DE6" w:rsidP="002B6561">
            <w:pPr>
              <w:pStyle w:val="NormalWeb"/>
              <w:spacing w:before="0" w:beforeAutospacing="0" w:after="0" w:afterAutospacing="0"/>
              <w:jc w:val="center"/>
              <w:rPr>
                <w:sz w:val="20"/>
                <w:szCs w:val="20"/>
              </w:rPr>
            </w:pPr>
            <w:r>
              <w:rPr>
                <w:color w:val="000000"/>
                <w:sz w:val="20"/>
                <w:szCs w:val="20"/>
              </w:rPr>
              <w:t>Compreender e otimizar a relação e comunicação com a liderança formal</w:t>
            </w:r>
          </w:p>
        </w:tc>
        <w:tc>
          <w:tcPr>
            <w:tcW w:w="1558" w:type="dxa"/>
            <w:vAlign w:val="center"/>
            <w:hideMark/>
          </w:tcPr>
          <w:p w14:paraId="58FE3ADB" w14:textId="77777777" w:rsidR="00E97DE6" w:rsidRDefault="00E97DE6" w:rsidP="002B6561">
            <w:pPr>
              <w:pStyle w:val="NormalWeb"/>
              <w:spacing w:before="0" w:beforeAutospacing="0" w:after="0" w:afterAutospacing="0"/>
              <w:jc w:val="center"/>
              <w:rPr>
                <w:sz w:val="20"/>
                <w:szCs w:val="20"/>
              </w:rPr>
            </w:pPr>
            <w:r>
              <w:rPr>
                <w:color w:val="000000"/>
                <w:sz w:val="20"/>
                <w:szCs w:val="20"/>
              </w:rPr>
              <w:t>Jowett (2007)</w:t>
            </w:r>
          </w:p>
        </w:tc>
        <w:tc>
          <w:tcPr>
            <w:tcW w:w="2268" w:type="dxa"/>
            <w:vAlign w:val="center"/>
            <w:hideMark/>
          </w:tcPr>
          <w:p w14:paraId="2C24D8F9" w14:textId="77777777" w:rsidR="00E97DE6" w:rsidRDefault="00E97DE6" w:rsidP="002B6561">
            <w:pPr>
              <w:pStyle w:val="NormalWeb"/>
              <w:spacing w:before="0" w:beforeAutospacing="0" w:after="0" w:afterAutospacing="0"/>
              <w:jc w:val="center"/>
              <w:rPr>
                <w:sz w:val="20"/>
                <w:szCs w:val="20"/>
              </w:rPr>
            </w:pPr>
            <w:r>
              <w:rPr>
                <w:color w:val="000000"/>
                <w:sz w:val="20"/>
                <w:szCs w:val="20"/>
              </w:rPr>
              <w:t>Modelo 3+1 Cs</w:t>
            </w:r>
          </w:p>
        </w:tc>
      </w:tr>
      <w:tr w:rsidR="00E97DE6" w14:paraId="68F7271E" w14:textId="77777777" w:rsidTr="002B6561">
        <w:trPr>
          <w:trHeight w:val="848"/>
          <w:jc w:val="center"/>
        </w:trPr>
        <w:tc>
          <w:tcPr>
            <w:tcW w:w="497" w:type="dxa"/>
            <w:vAlign w:val="center"/>
            <w:hideMark/>
          </w:tcPr>
          <w:p w14:paraId="70D3C7B9" w14:textId="77777777" w:rsidR="00E97DE6" w:rsidRDefault="00E97DE6" w:rsidP="002B6561">
            <w:pPr>
              <w:pStyle w:val="NormalWeb"/>
              <w:spacing w:before="0" w:beforeAutospacing="0" w:after="0" w:afterAutospacing="0"/>
              <w:jc w:val="center"/>
              <w:rPr>
                <w:b/>
                <w:bCs/>
                <w:sz w:val="20"/>
                <w:szCs w:val="20"/>
              </w:rPr>
            </w:pPr>
            <w:r>
              <w:rPr>
                <w:b/>
                <w:bCs/>
                <w:color w:val="000000"/>
                <w:sz w:val="20"/>
                <w:szCs w:val="20"/>
              </w:rPr>
              <w:t>10</w:t>
            </w:r>
          </w:p>
        </w:tc>
        <w:tc>
          <w:tcPr>
            <w:tcW w:w="1063" w:type="dxa"/>
            <w:vAlign w:val="center"/>
            <w:hideMark/>
          </w:tcPr>
          <w:p w14:paraId="07A1E937" w14:textId="77777777" w:rsidR="00E97DE6" w:rsidRDefault="00E97DE6" w:rsidP="002B6561">
            <w:pPr>
              <w:pStyle w:val="NormalWeb"/>
              <w:spacing w:before="0" w:beforeAutospacing="0" w:after="0" w:afterAutospacing="0"/>
              <w:jc w:val="center"/>
              <w:rPr>
                <w:b/>
                <w:bCs/>
                <w:sz w:val="20"/>
                <w:szCs w:val="20"/>
              </w:rPr>
            </w:pPr>
            <w:r>
              <w:rPr>
                <w:b/>
                <w:bCs/>
                <w:color w:val="000000"/>
                <w:sz w:val="20"/>
                <w:szCs w:val="20"/>
              </w:rPr>
              <w:t>Bronze</w:t>
            </w:r>
          </w:p>
        </w:tc>
        <w:tc>
          <w:tcPr>
            <w:tcW w:w="1274" w:type="dxa"/>
            <w:vAlign w:val="center"/>
            <w:hideMark/>
          </w:tcPr>
          <w:p w14:paraId="697C90C2" w14:textId="77777777" w:rsidR="00E97DE6" w:rsidRDefault="00E97DE6" w:rsidP="002B6561">
            <w:pPr>
              <w:pStyle w:val="NormalWeb"/>
              <w:spacing w:before="0" w:beforeAutospacing="0" w:after="0" w:afterAutospacing="0"/>
              <w:jc w:val="center"/>
              <w:rPr>
                <w:sz w:val="20"/>
                <w:szCs w:val="20"/>
              </w:rPr>
            </w:pPr>
            <w:r>
              <w:rPr>
                <w:color w:val="000000"/>
                <w:sz w:val="20"/>
                <w:szCs w:val="20"/>
              </w:rPr>
              <w:t>Liderança</w:t>
            </w:r>
          </w:p>
        </w:tc>
        <w:tc>
          <w:tcPr>
            <w:tcW w:w="2836" w:type="dxa"/>
            <w:vAlign w:val="center"/>
            <w:hideMark/>
          </w:tcPr>
          <w:p w14:paraId="6ACA6201" w14:textId="77777777" w:rsidR="00E97DE6" w:rsidRDefault="00E97DE6" w:rsidP="002B6561">
            <w:pPr>
              <w:pStyle w:val="NormalWeb"/>
              <w:spacing w:before="0" w:beforeAutospacing="0" w:after="0" w:afterAutospacing="0"/>
              <w:jc w:val="center"/>
              <w:rPr>
                <w:sz w:val="20"/>
                <w:szCs w:val="20"/>
              </w:rPr>
            </w:pPr>
            <w:r>
              <w:rPr>
                <w:color w:val="000000"/>
                <w:sz w:val="20"/>
                <w:szCs w:val="20"/>
              </w:rPr>
              <w:t>Desenvolver o senso de liderança e protagonismo, inspirar e ser inspirado(a)</w:t>
            </w:r>
          </w:p>
        </w:tc>
        <w:tc>
          <w:tcPr>
            <w:tcW w:w="1558" w:type="dxa"/>
            <w:vAlign w:val="center"/>
            <w:hideMark/>
          </w:tcPr>
          <w:p w14:paraId="711EA00B" w14:textId="77777777" w:rsidR="00E97DE6" w:rsidRDefault="00E97DE6" w:rsidP="002B6561">
            <w:pPr>
              <w:pStyle w:val="NormalWeb"/>
              <w:spacing w:before="0" w:beforeAutospacing="0" w:after="0" w:afterAutospacing="0"/>
              <w:jc w:val="center"/>
              <w:rPr>
                <w:sz w:val="20"/>
                <w:szCs w:val="20"/>
              </w:rPr>
            </w:pPr>
            <w:r>
              <w:rPr>
                <w:color w:val="000000"/>
                <w:sz w:val="20"/>
                <w:szCs w:val="20"/>
              </w:rPr>
              <w:t>Hersey &amp; Blanchard (1982); Weinberg &amp; Gould (2017)</w:t>
            </w:r>
          </w:p>
        </w:tc>
        <w:tc>
          <w:tcPr>
            <w:tcW w:w="2268" w:type="dxa"/>
            <w:vAlign w:val="center"/>
            <w:hideMark/>
          </w:tcPr>
          <w:p w14:paraId="3EEEC48D" w14:textId="77777777" w:rsidR="00E97DE6" w:rsidRDefault="00E97DE6" w:rsidP="002B6561">
            <w:pPr>
              <w:pStyle w:val="NormalWeb"/>
              <w:spacing w:before="0" w:beforeAutospacing="0" w:after="0" w:afterAutospacing="0"/>
              <w:jc w:val="center"/>
              <w:rPr>
                <w:sz w:val="20"/>
                <w:szCs w:val="20"/>
              </w:rPr>
            </w:pPr>
            <w:r>
              <w:rPr>
                <w:color w:val="000000"/>
                <w:sz w:val="20"/>
                <w:szCs w:val="20"/>
              </w:rPr>
              <w:t>Tipos de liderança e seus impactos</w:t>
            </w:r>
          </w:p>
        </w:tc>
      </w:tr>
      <w:tr w:rsidR="00E97DE6" w14:paraId="67174585" w14:textId="77777777" w:rsidTr="002B6561">
        <w:trPr>
          <w:jc w:val="center"/>
        </w:trPr>
        <w:tc>
          <w:tcPr>
            <w:tcW w:w="497" w:type="dxa"/>
            <w:vAlign w:val="center"/>
            <w:hideMark/>
          </w:tcPr>
          <w:p w14:paraId="6CA49831" w14:textId="77777777" w:rsidR="00E97DE6" w:rsidRDefault="00E97DE6" w:rsidP="002B6561">
            <w:pPr>
              <w:pStyle w:val="NormalWeb"/>
              <w:spacing w:before="0" w:beforeAutospacing="0" w:after="0" w:afterAutospacing="0"/>
              <w:jc w:val="center"/>
              <w:rPr>
                <w:b/>
                <w:bCs/>
                <w:sz w:val="20"/>
                <w:szCs w:val="20"/>
              </w:rPr>
            </w:pPr>
            <w:r>
              <w:rPr>
                <w:b/>
                <w:bCs/>
                <w:color w:val="000000"/>
                <w:sz w:val="20"/>
                <w:szCs w:val="20"/>
              </w:rPr>
              <w:t>11</w:t>
            </w:r>
          </w:p>
        </w:tc>
        <w:tc>
          <w:tcPr>
            <w:tcW w:w="1063" w:type="dxa"/>
            <w:vAlign w:val="center"/>
            <w:hideMark/>
          </w:tcPr>
          <w:p w14:paraId="016F7808" w14:textId="77777777" w:rsidR="00E97DE6" w:rsidRDefault="00E97DE6" w:rsidP="002B6561">
            <w:pPr>
              <w:pStyle w:val="NormalWeb"/>
              <w:spacing w:before="0" w:beforeAutospacing="0" w:after="0" w:afterAutospacing="0"/>
              <w:jc w:val="center"/>
              <w:rPr>
                <w:b/>
                <w:bCs/>
                <w:sz w:val="20"/>
                <w:szCs w:val="20"/>
              </w:rPr>
            </w:pPr>
            <w:r>
              <w:rPr>
                <w:b/>
                <w:bCs/>
                <w:color w:val="000000"/>
                <w:sz w:val="20"/>
                <w:szCs w:val="20"/>
              </w:rPr>
              <w:t>Bronze</w:t>
            </w:r>
          </w:p>
        </w:tc>
        <w:tc>
          <w:tcPr>
            <w:tcW w:w="1274" w:type="dxa"/>
            <w:vAlign w:val="center"/>
            <w:hideMark/>
          </w:tcPr>
          <w:p w14:paraId="2C5C717F" w14:textId="77777777" w:rsidR="00E97DE6" w:rsidRDefault="00E97DE6" w:rsidP="002B6561">
            <w:pPr>
              <w:pStyle w:val="NormalWeb"/>
              <w:spacing w:before="0" w:beforeAutospacing="0" w:after="0" w:afterAutospacing="0"/>
              <w:jc w:val="center"/>
              <w:rPr>
                <w:sz w:val="20"/>
                <w:szCs w:val="20"/>
              </w:rPr>
            </w:pPr>
            <w:r>
              <w:rPr>
                <w:color w:val="000000"/>
                <w:sz w:val="20"/>
                <w:szCs w:val="20"/>
              </w:rPr>
              <w:t>Trabalho em Equipe</w:t>
            </w:r>
          </w:p>
        </w:tc>
        <w:tc>
          <w:tcPr>
            <w:tcW w:w="2836" w:type="dxa"/>
            <w:vAlign w:val="center"/>
            <w:hideMark/>
          </w:tcPr>
          <w:p w14:paraId="717ADD84" w14:textId="77777777" w:rsidR="00E97DE6" w:rsidRDefault="00E97DE6" w:rsidP="002B6561">
            <w:pPr>
              <w:pStyle w:val="NormalWeb"/>
              <w:spacing w:before="0" w:beforeAutospacing="0" w:after="0" w:afterAutospacing="0"/>
              <w:jc w:val="center"/>
              <w:rPr>
                <w:sz w:val="20"/>
                <w:szCs w:val="20"/>
              </w:rPr>
            </w:pPr>
            <w:r>
              <w:rPr>
                <w:color w:val="000000"/>
                <w:sz w:val="20"/>
                <w:szCs w:val="20"/>
              </w:rPr>
              <w:t>Cooperar e competir de forma adequada, trabalhar a coesão grupal, a confiança mútua e o senso de coletividade.</w:t>
            </w:r>
          </w:p>
        </w:tc>
        <w:tc>
          <w:tcPr>
            <w:tcW w:w="1558" w:type="dxa"/>
            <w:vAlign w:val="center"/>
            <w:hideMark/>
          </w:tcPr>
          <w:p w14:paraId="11910821" w14:textId="77777777" w:rsidR="00E97DE6" w:rsidRPr="009827F3" w:rsidRDefault="00E97DE6" w:rsidP="002B6561">
            <w:pPr>
              <w:pStyle w:val="NormalWeb"/>
              <w:spacing w:before="0" w:beforeAutospacing="0" w:after="0" w:afterAutospacing="0"/>
              <w:jc w:val="center"/>
              <w:rPr>
                <w:sz w:val="20"/>
                <w:szCs w:val="20"/>
                <w:lang w:val="en-US"/>
              </w:rPr>
            </w:pPr>
            <w:r w:rsidRPr="009827F3">
              <w:rPr>
                <w:color w:val="000000"/>
                <w:sz w:val="20"/>
                <w:szCs w:val="20"/>
                <w:lang w:val="en-US"/>
              </w:rPr>
              <w:t>McEwan &amp; Beauchamp (2014); Collins &amp; Durand-Bush (2019)</w:t>
            </w:r>
          </w:p>
        </w:tc>
        <w:tc>
          <w:tcPr>
            <w:tcW w:w="2268" w:type="dxa"/>
            <w:vAlign w:val="center"/>
            <w:hideMark/>
          </w:tcPr>
          <w:p w14:paraId="03F19CC1" w14:textId="77777777" w:rsidR="00E97DE6" w:rsidRDefault="00E97DE6" w:rsidP="002B6561">
            <w:pPr>
              <w:pStyle w:val="NormalWeb"/>
              <w:spacing w:before="0" w:beforeAutospacing="0" w:after="0" w:afterAutospacing="0"/>
              <w:jc w:val="center"/>
              <w:rPr>
                <w:sz w:val="20"/>
                <w:szCs w:val="20"/>
              </w:rPr>
            </w:pPr>
            <w:r>
              <w:rPr>
                <w:color w:val="000000"/>
                <w:sz w:val="20"/>
                <w:szCs w:val="20"/>
              </w:rPr>
              <w:t>Grupo x Equipe; Modelo de Funcionamento Ótimo da Equipe (OTF)</w:t>
            </w:r>
          </w:p>
        </w:tc>
      </w:tr>
      <w:tr w:rsidR="00E97DE6" w14:paraId="3975470C" w14:textId="77777777" w:rsidTr="002B6561">
        <w:trPr>
          <w:jc w:val="center"/>
        </w:trPr>
        <w:tc>
          <w:tcPr>
            <w:tcW w:w="497" w:type="dxa"/>
            <w:vAlign w:val="center"/>
            <w:hideMark/>
          </w:tcPr>
          <w:p w14:paraId="02D2DC02" w14:textId="77777777" w:rsidR="00E97DE6" w:rsidRDefault="00E97DE6" w:rsidP="002B6561">
            <w:pPr>
              <w:pStyle w:val="NormalWeb"/>
              <w:spacing w:before="0" w:beforeAutospacing="0" w:after="0" w:afterAutospacing="0"/>
              <w:jc w:val="center"/>
              <w:rPr>
                <w:b/>
                <w:bCs/>
                <w:sz w:val="20"/>
                <w:szCs w:val="20"/>
              </w:rPr>
            </w:pPr>
            <w:r>
              <w:rPr>
                <w:b/>
                <w:bCs/>
                <w:color w:val="000000"/>
                <w:sz w:val="20"/>
                <w:szCs w:val="20"/>
              </w:rPr>
              <w:t>12</w:t>
            </w:r>
          </w:p>
        </w:tc>
        <w:tc>
          <w:tcPr>
            <w:tcW w:w="1063" w:type="dxa"/>
            <w:vAlign w:val="center"/>
            <w:hideMark/>
          </w:tcPr>
          <w:p w14:paraId="6E4EE049" w14:textId="77777777" w:rsidR="00E97DE6" w:rsidRDefault="00E97DE6" w:rsidP="002B6561">
            <w:pPr>
              <w:pStyle w:val="NormalWeb"/>
              <w:spacing w:before="0" w:beforeAutospacing="0" w:after="0" w:afterAutospacing="0"/>
              <w:jc w:val="center"/>
              <w:rPr>
                <w:b/>
                <w:bCs/>
                <w:sz w:val="20"/>
                <w:szCs w:val="20"/>
              </w:rPr>
            </w:pPr>
            <w:r>
              <w:rPr>
                <w:b/>
                <w:bCs/>
                <w:color w:val="000000"/>
                <w:sz w:val="20"/>
                <w:szCs w:val="20"/>
              </w:rPr>
              <w:t>Bronze</w:t>
            </w:r>
          </w:p>
        </w:tc>
        <w:tc>
          <w:tcPr>
            <w:tcW w:w="1274" w:type="dxa"/>
            <w:vAlign w:val="center"/>
            <w:hideMark/>
          </w:tcPr>
          <w:p w14:paraId="62FF4D20" w14:textId="77777777" w:rsidR="00E97DE6" w:rsidRDefault="00E97DE6" w:rsidP="002B6561">
            <w:pPr>
              <w:pStyle w:val="NormalWeb"/>
              <w:spacing w:before="0" w:beforeAutospacing="0" w:after="0" w:afterAutospacing="0"/>
              <w:jc w:val="center"/>
              <w:rPr>
                <w:sz w:val="20"/>
                <w:szCs w:val="20"/>
              </w:rPr>
            </w:pPr>
            <w:r>
              <w:rPr>
                <w:color w:val="000000"/>
                <w:sz w:val="20"/>
                <w:szCs w:val="20"/>
              </w:rPr>
              <w:t>Comunica</w:t>
            </w:r>
            <w:r w:rsidR="002B6561">
              <w:rPr>
                <w:color w:val="000000"/>
                <w:sz w:val="20"/>
                <w:szCs w:val="20"/>
              </w:rPr>
              <w:t>-</w:t>
            </w:r>
            <w:r>
              <w:rPr>
                <w:color w:val="000000"/>
                <w:sz w:val="20"/>
                <w:szCs w:val="20"/>
              </w:rPr>
              <w:t>ção</w:t>
            </w:r>
          </w:p>
        </w:tc>
        <w:tc>
          <w:tcPr>
            <w:tcW w:w="2836" w:type="dxa"/>
            <w:vAlign w:val="center"/>
            <w:hideMark/>
          </w:tcPr>
          <w:p w14:paraId="773EB816" w14:textId="77777777" w:rsidR="00E97DE6" w:rsidRDefault="00E97DE6" w:rsidP="002B6561">
            <w:pPr>
              <w:pStyle w:val="NormalWeb"/>
              <w:spacing w:before="0" w:beforeAutospacing="0" w:after="0" w:afterAutospacing="0"/>
              <w:jc w:val="center"/>
              <w:rPr>
                <w:sz w:val="20"/>
                <w:szCs w:val="20"/>
              </w:rPr>
            </w:pPr>
            <w:r>
              <w:rPr>
                <w:color w:val="000000"/>
                <w:sz w:val="20"/>
                <w:szCs w:val="20"/>
              </w:rPr>
              <w:t>Trabalhar assertividade e comunicação eficaz no contexto esportivo. Desenvolver escuta ativa, expressão clara e </w:t>
            </w:r>
          </w:p>
          <w:p w14:paraId="3C2920AC" w14:textId="77777777" w:rsidR="00E97DE6" w:rsidRDefault="00E97DE6" w:rsidP="002B6561">
            <w:pPr>
              <w:pStyle w:val="NormalWeb"/>
              <w:spacing w:before="0" w:beforeAutospacing="0" w:after="0" w:afterAutospacing="0"/>
              <w:jc w:val="center"/>
              <w:rPr>
                <w:sz w:val="20"/>
                <w:szCs w:val="20"/>
              </w:rPr>
            </w:pPr>
            <w:r>
              <w:rPr>
                <w:i/>
                <w:iCs/>
                <w:color w:val="000000"/>
                <w:sz w:val="20"/>
                <w:szCs w:val="20"/>
              </w:rPr>
              <w:t xml:space="preserve">feedbacks </w:t>
            </w:r>
            <w:r>
              <w:rPr>
                <w:color w:val="000000"/>
                <w:sz w:val="20"/>
                <w:szCs w:val="20"/>
              </w:rPr>
              <w:t>construtivos</w:t>
            </w:r>
          </w:p>
        </w:tc>
        <w:tc>
          <w:tcPr>
            <w:tcW w:w="1558" w:type="dxa"/>
            <w:vAlign w:val="center"/>
            <w:hideMark/>
          </w:tcPr>
          <w:p w14:paraId="10D749EB" w14:textId="77777777" w:rsidR="00E97DE6" w:rsidRDefault="00E97DE6" w:rsidP="002B6561">
            <w:pPr>
              <w:pStyle w:val="NormalWeb"/>
              <w:spacing w:before="0" w:beforeAutospacing="0" w:after="0" w:afterAutospacing="0"/>
              <w:jc w:val="center"/>
              <w:rPr>
                <w:sz w:val="20"/>
                <w:szCs w:val="20"/>
              </w:rPr>
            </w:pPr>
            <w:r>
              <w:rPr>
                <w:color w:val="000000"/>
                <w:sz w:val="20"/>
                <w:szCs w:val="20"/>
              </w:rPr>
              <w:t>Samulski (2009); Weinberg &amp; Gould (2017)</w:t>
            </w:r>
          </w:p>
        </w:tc>
        <w:tc>
          <w:tcPr>
            <w:tcW w:w="2268" w:type="dxa"/>
            <w:vAlign w:val="center"/>
            <w:hideMark/>
          </w:tcPr>
          <w:p w14:paraId="2E3B7146" w14:textId="77777777" w:rsidR="00E97DE6" w:rsidRDefault="00E97DE6" w:rsidP="002B6561">
            <w:pPr>
              <w:pStyle w:val="NormalWeb"/>
              <w:spacing w:before="0" w:beforeAutospacing="0" w:after="0" w:afterAutospacing="0"/>
              <w:jc w:val="center"/>
              <w:rPr>
                <w:sz w:val="20"/>
                <w:szCs w:val="20"/>
              </w:rPr>
            </w:pPr>
            <w:r>
              <w:rPr>
                <w:color w:val="000000"/>
                <w:sz w:val="20"/>
                <w:szCs w:val="20"/>
              </w:rPr>
              <w:t xml:space="preserve">Tipos de comunicação; Facilitadores e barreiras comuns; </w:t>
            </w:r>
            <w:r>
              <w:rPr>
                <w:i/>
                <w:iCs/>
                <w:color w:val="000000"/>
                <w:sz w:val="20"/>
                <w:szCs w:val="20"/>
              </w:rPr>
              <w:t>Feedback</w:t>
            </w:r>
            <w:r>
              <w:rPr>
                <w:color w:val="000000"/>
                <w:sz w:val="20"/>
                <w:szCs w:val="20"/>
              </w:rPr>
              <w:t xml:space="preserve"> sanduíche</w:t>
            </w:r>
          </w:p>
        </w:tc>
      </w:tr>
      <w:tr w:rsidR="00E97DE6" w14:paraId="2021420F" w14:textId="77777777" w:rsidTr="002B6561">
        <w:trPr>
          <w:jc w:val="center"/>
        </w:trPr>
        <w:tc>
          <w:tcPr>
            <w:tcW w:w="497" w:type="dxa"/>
            <w:vAlign w:val="center"/>
            <w:hideMark/>
          </w:tcPr>
          <w:p w14:paraId="63336F2C" w14:textId="77777777" w:rsidR="00E97DE6" w:rsidRDefault="00E97DE6" w:rsidP="002B6561">
            <w:pPr>
              <w:pStyle w:val="NormalWeb"/>
              <w:spacing w:before="0" w:beforeAutospacing="0" w:after="0" w:afterAutospacing="0"/>
              <w:jc w:val="center"/>
              <w:rPr>
                <w:b/>
                <w:bCs/>
                <w:sz w:val="20"/>
                <w:szCs w:val="20"/>
              </w:rPr>
            </w:pPr>
            <w:r>
              <w:rPr>
                <w:b/>
                <w:bCs/>
                <w:color w:val="000000"/>
                <w:sz w:val="20"/>
                <w:szCs w:val="20"/>
              </w:rPr>
              <w:t>13</w:t>
            </w:r>
          </w:p>
        </w:tc>
        <w:tc>
          <w:tcPr>
            <w:tcW w:w="1063" w:type="dxa"/>
            <w:vAlign w:val="center"/>
            <w:hideMark/>
          </w:tcPr>
          <w:p w14:paraId="473CE6B1" w14:textId="77777777" w:rsidR="00E97DE6" w:rsidRDefault="002B6561" w:rsidP="002B6561">
            <w:pPr>
              <w:pStyle w:val="NormalWeb"/>
              <w:spacing w:before="0" w:beforeAutospacing="0" w:after="0" w:afterAutospacing="0"/>
              <w:jc w:val="center"/>
              <w:rPr>
                <w:b/>
                <w:bCs/>
                <w:sz w:val="20"/>
                <w:szCs w:val="20"/>
              </w:rPr>
            </w:pPr>
            <w:r>
              <w:rPr>
                <w:b/>
                <w:bCs/>
                <w:color w:val="000000"/>
                <w:sz w:val="20"/>
                <w:szCs w:val="20"/>
              </w:rPr>
              <w:t>Diamante</w:t>
            </w:r>
          </w:p>
        </w:tc>
        <w:tc>
          <w:tcPr>
            <w:tcW w:w="1274" w:type="dxa"/>
            <w:vAlign w:val="center"/>
            <w:hideMark/>
          </w:tcPr>
          <w:p w14:paraId="066AE9DF" w14:textId="77777777" w:rsidR="00E97DE6" w:rsidRDefault="00E97DE6" w:rsidP="002B6561">
            <w:pPr>
              <w:pStyle w:val="NormalWeb"/>
              <w:spacing w:before="0" w:beforeAutospacing="0" w:after="0" w:afterAutospacing="0"/>
              <w:jc w:val="center"/>
              <w:rPr>
                <w:sz w:val="20"/>
                <w:szCs w:val="20"/>
              </w:rPr>
            </w:pPr>
            <w:r>
              <w:rPr>
                <w:color w:val="000000"/>
                <w:sz w:val="20"/>
                <w:szCs w:val="20"/>
              </w:rPr>
              <w:t>Autocuidado</w:t>
            </w:r>
          </w:p>
        </w:tc>
        <w:tc>
          <w:tcPr>
            <w:tcW w:w="2836" w:type="dxa"/>
            <w:vAlign w:val="center"/>
            <w:hideMark/>
          </w:tcPr>
          <w:p w14:paraId="4E9AD41F" w14:textId="77777777" w:rsidR="00E97DE6" w:rsidRDefault="00E97DE6" w:rsidP="002B6561">
            <w:pPr>
              <w:pStyle w:val="NormalWeb"/>
              <w:spacing w:before="0" w:beforeAutospacing="0" w:after="0" w:afterAutospacing="0"/>
              <w:jc w:val="center"/>
              <w:rPr>
                <w:sz w:val="20"/>
                <w:szCs w:val="20"/>
              </w:rPr>
            </w:pPr>
            <w:r>
              <w:rPr>
                <w:color w:val="000000"/>
                <w:sz w:val="20"/>
                <w:szCs w:val="20"/>
              </w:rPr>
              <w:t>Afiar o olhar sobre si e reconhecer o autocuidado como parte essencial da performance</w:t>
            </w:r>
          </w:p>
        </w:tc>
        <w:tc>
          <w:tcPr>
            <w:tcW w:w="1558" w:type="dxa"/>
            <w:vAlign w:val="center"/>
            <w:hideMark/>
          </w:tcPr>
          <w:p w14:paraId="24C88760" w14:textId="77777777" w:rsidR="00E97DE6" w:rsidRDefault="00E97DE6" w:rsidP="002B6561">
            <w:pPr>
              <w:pStyle w:val="NormalWeb"/>
              <w:spacing w:before="0" w:beforeAutospacing="0" w:after="0" w:afterAutospacing="0"/>
              <w:jc w:val="center"/>
              <w:rPr>
                <w:sz w:val="20"/>
                <w:szCs w:val="20"/>
              </w:rPr>
            </w:pPr>
            <w:r>
              <w:rPr>
                <w:color w:val="000000"/>
                <w:sz w:val="20"/>
                <w:szCs w:val="20"/>
              </w:rPr>
              <w:t>Gouttebarge et al. (2019); OMS (2022)</w:t>
            </w:r>
          </w:p>
        </w:tc>
        <w:tc>
          <w:tcPr>
            <w:tcW w:w="2268" w:type="dxa"/>
            <w:vAlign w:val="center"/>
            <w:hideMark/>
          </w:tcPr>
          <w:p w14:paraId="3BFE26BF" w14:textId="77777777" w:rsidR="00E97DE6" w:rsidRDefault="00E97DE6" w:rsidP="002B6561">
            <w:pPr>
              <w:pStyle w:val="NormalWeb"/>
              <w:spacing w:before="0" w:beforeAutospacing="0" w:after="0" w:afterAutospacing="0"/>
              <w:jc w:val="center"/>
              <w:rPr>
                <w:sz w:val="20"/>
                <w:szCs w:val="20"/>
              </w:rPr>
            </w:pPr>
            <w:r>
              <w:rPr>
                <w:color w:val="000000"/>
                <w:sz w:val="20"/>
                <w:szCs w:val="20"/>
              </w:rPr>
              <w:t>Autocuidado como parte da performance; Prevenção de transtornos mentais; Primeiros Socorros Psicológicos (PSP)</w:t>
            </w:r>
          </w:p>
        </w:tc>
      </w:tr>
      <w:tr w:rsidR="00E97DE6" w14:paraId="6F318FD9" w14:textId="77777777" w:rsidTr="002B6561">
        <w:trPr>
          <w:jc w:val="center"/>
        </w:trPr>
        <w:tc>
          <w:tcPr>
            <w:tcW w:w="497" w:type="dxa"/>
            <w:vAlign w:val="center"/>
            <w:hideMark/>
          </w:tcPr>
          <w:p w14:paraId="36EFF6AB" w14:textId="77777777" w:rsidR="00E97DE6" w:rsidRDefault="00E97DE6" w:rsidP="002B6561">
            <w:pPr>
              <w:pStyle w:val="NormalWeb"/>
              <w:spacing w:before="0" w:beforeAutospacing="0" w:after="0" w:afterAutospacing="0"/>
              <w:jc w:val="center"/>
              <w:rPr>
                <w:b/>
                <w:bCs/>
                <w:sz w:val="20"/>
                <w:szCs w:val="20"/>
              </w:rPr>
            </w:pPr>
            <w:r>
              <w:rPr>
                <w:b/>
                <w:bCs/>
                <w:color w:val="000000"/>
                <w:sz w:val="20"/>
                <w:szCs w:val="20"/>
              </w:rPr>
              <w:t>14</w:t>
            </w:r>
          </w:p>
        </w:tc>
        <w:tc>
          <w:tcPr>
            <w:tcW w:w="1063" w:type="dxa"/>
            <w:vAlign w:val="center"/>
            <w:hideMark/>
          </w:tcPr>
          <w:p w14:paraId="2ED6C0F5" w14:textId="77777777" w:rsidR="00E97DE6" w:rsidRDefault="002B6561" w:rsidP="002B6561">
            <w:pPr>
              <w:pStyle w:val="NormalWeb"/>
              <w:spacing w:before="0" w:beforeAutospacing="0" w:after="0" w:afterAutospacing="0"/>
              <w:jc w:val="center"/>
              <w:rPr>
                <w:b/>
                <w:bCs/>
                <w:sz w:val="20"/>
                <w:szCs w:val="20"/>
              </w:rPr>
            </w:pPr>
            <w:r>
              <w:rPr>
                <w:b/>
                <w:bCs/>
                <w:color w:val="000000"/>
                <w:sz w:val="20"/>
                <w:szCs w:val="20"/>
              </w:rPr>
              <w:t>Diamante</w:t>
            </w:r>
          </w:p>
        </w:tc>
        <w:tc>
          <w:tcPr>
            <w:tcW w:w="1274" w:type="dxa"/>
            <w:vAlign w:val="center"/>
            <w:hideMark/>
          </w:tcPr>
          <w:p w14:paraId="7FB551BD" w14:textId="77777777" w:rsidR="00E97DE6" w:rsidRDefault="00E97DE6" w:rsidP="002B6561">
            <w:pPr>
              <w:pStyle w:val="NormalWeb"/>
              <w:spacing w:before="0" w:beforeAutospacing="0" w:after="0" w:afterAutospacing="0"/>
              <w:jc w:val="center"/>
              <w:rPr>
                <w:sz w:val="20"/>
                <w:szCs w:val="20"/>
              </w:rPr>
            </w:pPr>
            <w:r>
              <w:rPr>
                <w:color w:val="000000"/>
                <w:sz w:val="20"/>
                <w:szCs w:val="20"/>
              </w:rPr>
              <w:t>Educação Financeira</w:t>
            </w:r>
          </w:p>
        </w:tc>
        <w:tc>
          <w:tcPr>
            <w:tcW w:w="2836" w:type="dxa"/>
            <w:vAlign w:val="center"/>
            <w:hideMark/>
          </w:tcPr>
          <w:p w14:paraId="6A0DBE96" w14:textId="77777777" w:rsidR="00E97DE6" w:rsidRDefault="00E97DE6" w:rsidP="002B6561">
            <w:pPr>
              <w:pStyle w:val="NormalWeb"/>
              <w:spacing w:before="0" w:beforeAutospacing="0" w:after="0" w:afterAutospacing="0"/>
              <w:jc w:val="center"/>
              <w:rPr>
                <w:sz w:val="20"/>
                <w:szCs w:val="20"/>
              </w:rPr>
            </w:pPr>
            <w:r>
              <w:rPr>
                <w:color w:val="000000"/>
                <w:sz w:val="20"/>
                <w:szCs w:val="20"/>
              </w:rPr>
              <w:t>Aprimorar a gestão de finanças pessoais e profissionais de forma consciente, reconhecendo o dinheiro como parte </w:t>
            </w:r>
          </w:p>
          <w:p w14:paraId="2C557528" w14:textId="77777777" w:rsidR="00E97DE6" w:rsidRDefault="00E97DE6" w:rsidP="002B6561">
            <w:pPr>
              <w:pStyle w:val="NormalWeb"/>
              <w:spacing w:before="0" w:beforeAutospacing="0" w:after="0" w:afterAutospacing="0"/>
              <w:jc w:val="center"/>
              <w:rPr>
                <w:sz w:val="20"/>
                <w:szCs w:val="20"/>
              </w:rPr>
            </w:pPr>
            <w:r>
              <w:rPr>
                <w:color w:val="000000"/>
                <w:sz w:val="20"/>
                <w:szCs w:val="20"/>
              </w:rPr>
              <w:t>da saúde mental</w:t>
            </w:r>
          </w:p>
        </w:tc>
        <w:tc>
          <w:tcPr>
            <w:tcW w:w="1558" w:type="dxa"/>
            <w:vAlign w:val="center"/>
            <w:hideMark/>
          </w:tcPr>
          <w:p w14:paraId="657C5240" w14:textId="77777777" w:rsidR="00E97DE6" w:rsidRDefault="00E97DE6" w:rsidP="002B6561">
            <w:pPr>
              <w:pStyle w:val="NormalWeb"/>
              <w:spacing w:before="0" w:beforeAutospacing="0" w:after="0" w:afterAutospacing="0"/>
              <w:jc w:val="center"/>
              <w:rPr>
                <w:sz w:val="20"/>
                <w:szCs w:val="20"/>
              </w:rPr>
            </w:pPr>
            <w:r>
              <w:rPr>
                <w:color w:val="000000"/>
                <w:sz w:val="20"/>
                <w:szCs w:val="20"/>
              </w:rPr>
              <w:t>Banco Central do Brasil (2013)</w:t>
            </w:r>
          </w:p>
        </w:tc>
        <w:tc>
          <w:tcPr>
            <w:tcW w:w="2268" w:type="dxa"/>
            <w:vAlign w:val="center"/>
            <w:hideMark/>
          </w:tcPr>
          <w:p w14:paraId="6D6C4F78" w14:textId="77777777" w:rsidR="00E97DE6" w:rsidRDefault="00E97DE6" w:rsidP="002B6561">
            <w:pPr>
              <w:pStyle w:val="NormalWeb"/>
              <w:spacing w:before="0" w:beforeAutospacing="0" w:after="0" w:afterAutospacing="0"/>
              <w:jc w:val="center"/>
              <w:rPr>
                <w:sz w:val="20"/>
                <w:szCs w:val="20"/>
              </w:rPr>
            </w:pPr>
            <w:r>
              <w:rPr>
                <w:color w:val="000000"/>
                <w:sz w:val="20"/>
                <w:szCs w:val="20"/>
              </w:rPr>
              <w:t>Gestão financeira; Cinco pilares da educação financeira</w:t>
            </w:r>
          </w:p>
        </w:tc>
      </w:tr>
      <w:tr w:rsidR="00E97DE6" w14:paraId="6FA1148E" w14:textId="77777777" w:rsidTr="002B6561">
        <w:trPr>
          <w:jc w:val="center"/>
        </w:trPr>
        <w:tc>
          <w:tcPr>
            <w:tcW w:w="497" w:type="dxa"/>
            <w:vAlign w:val="center"/>
            <w:hideMark/>
          </w:tcPr>
          <w:p w14:paraId="5B686F31" w14:textId="77777777" w:rsidR="00E97DE6" w:rsidRDefault="00E97DE6" w:rsidP="002B6561">
            <w:pPr>
              <w:pStyle w:val="NormalWeb"/>
              <w:spacing w:before="0" w:beforeAutospacing="0" w:after="0" w:afterAutospacing="0"/>
              <w:jc w:val="center"/>
              <w:rPr>
                <w:b/>
                <w:bCs/>
                <w:sz w:val="20"/>
                <w:szCs w:val="20"/>
              </w:rPr>
            </w:pPr>
            <w:r>
              <w:rPr>
                <w:b/>
                <w:bCs/>
                <w:color w:val="000000"/>
                <w:sz w:val="20"/>
                <w:szCs w:val="20"/>
              </w:rPr>
              <w:t>15</w:t>
            </w:r>
          </w:p>
        </w:tc>
        <w:tc>
          <w:tcPr>
            <w:tcW w:w="1063" w:type="dxa"/>
            <w:vAlign w:val="center"/>
            <w:hideMark/>
          </w:tcPr>
          <w:p w14:paraId="507E9247" w14:textId="77777777" w:rsidR="00E97DE6" w:rsidRDefault="002B6561" w:rsidP="002B6561">
            <w:pPr>
              <w:pStyle w:val="NormalWeb"/>
              <w:spacing w:before="0" w:beforeAutospacing="0" w:after="0" w:afterAutospacing="0"/>
              <w:jc w:val="center"/>
              <w:rPr>
                <w:b/>
                <w:bCs/>
                <w:sz w:val="20"/>
                <w:szCs w:val="20"/>
              </w:rPr>
            </w:pPr>
            <w:r>
              <w:rPr>
                <w:b/>
                <w:bCs/>
                <w:color w:val="000000"/>
                <w:sz w:val="20"/>
                <w:szCs w:val="20"/>
              </w:rPr>
              <w:t>Diamante</w:t>
            </w:r>
          </w:p>
        </w:tc>
        <w:tc>
          <w:tcPr>
            <w:tcW w:w="1274" w:type="dxa"/>
            <w:vAlign w:val="center"/>
            <w:hideMark/>
          </w:tcPr>
          <w:p w14:paraId="22BE81B7" w14:textId="77777777" w:rsidR="00E97DE6" w:rsidRDefault="00E97DE6" w:rsidP="002B6561">
            <w:pPr>
              <w:pStyle w:val="NormalWeb"/>
              <w:spacing w:before="0" w:beforeAutospacing="0" w:after="0" w:afterAutospacing="0"/>
              <w:jc w:val="center"/>
              <w:rPr>
                <w:sz w:val="20"/>
                <w:szCs w:val="20"/>
              </w:rPr>
            </w:pPr>
            <w:r>
              <w:rPr>
                <w:color w:val="000000"/>
                <w:sz w:val="20"/>
                <w:szCs w:val="20"/>
              </w:rPr>
              <w:t>Planejamen</w:t>
            </w:r>
            <w:r w:rsidR="002B6561">
              <w:rPr>
                <w:color w:val="000000"/>
                <w:sz w:val="20"/>
                <w:szCs w:val="20"/>
              </w:rPr>
              <w:t>-</w:t>
            </w:r>
            <w:r>
              <w:rPr>
                <w:color w:val="000000"/>
                <w:sz w:val="20"/>
                <w:szCs w:val="20"/>
              </w:rPr>
              <w:t>to de</w:t>
            </w:r>
            <w:r w:rsidR="002B6561">
              <w:rPr>
                <w:color w:val="000000"/>
                <w:sz w:val="20"/>
                <w:szCs w:val="20"/>
              </w:rPr>
              <w:t xml:space="preserve"> </w:t>
            </w:r>
            <w:r>
              <w:rPr>
                <w:color w:val="000000"/>
                <w:sz w:val="20"/>
                <w:szCs w:val="20"/>
              </w:rPr>
              <w:t>Carreira</w:t>
            </w:r>
          </w:p>
        </w:tc>
        <w:tc>
          <w:tcPr>
            <w:tcW w:w="2836" w:type="dxa"/>
            <w:vAlign w:val="center"/>
            <w:hideMark/>
          </w:tcPr>
          <w:p w14:paraId="01830DBF" w14:textId="77777777" w:rsidR="00E97DE6" w:rsidRDefault="00E97DE6" w:rsidP="002B6561">
            <w:pPr>
              <w:pStyle w:val="NormalWeb"/>
              <w:spacing w:before="0" w:beforeAutospacing="0" w:after="0" w:afterAutospacing="0"/>
              <w:jc w:val="center"/>
              <w:rPr>
                <w:sz w:val="20"/>
                <w:szCs w:val="20"/>
              </w:rPr>
            </w:pPr>
            <w:r>
              <w:rPr>
                <w:color w:val="000000"/>
                <w:sz w:val="20"/>
                <w:szCs w:val="20"/>
              </w:rPr>
              <w:t>Visualizar a trajetória profissional no tempo e projetar possibilidades de futuro, conectando o presente aos sonhos </w:t>
            </w:r>
          </w:p>
          <w:p w14:paraId="1BB2F7B6" w14:textId="77777777" w:rsidR="00E97DE6" w:rsidRDefault="00E97DE6" w:rsidP="002B6561">
            <w:pPr>
              <w:pStyle w:val="NormalWeb"/>
              <w:spacing w:before="0" w:beforeAutospacing="0" w:after="0" w:afterAutospacing="0"/>
              <w:jc w:val="center"/>
              <w:rPr>
                <w:sz w:val="20"/>
                <w:szCs w:val="20"/>
              </w:rPr>
            </w:pPr>
            <w:r>
              <w:rPr>
                <w:color w:val="000000"/>
                <w:sz w:val="20"/>
                <w:szCs w:val="20"/>
              </w:rPr>
              <w:t>e metas de longo prazo</w:t>
            </w:r>
          </w:p>
        </w:tc>
        <w:tc>
          <w:tcPr>
            <w:tcW w:w="1558" w:type="dxa"/>
            <w:vAlign w:val="center"/>
            <w:hideMark/>
          </w:tcPr>
          <w:p w14:paraId="3BD5B1BF" w14:textId="77777777" w:rsidR="00E97DE6" w:rsidRDefault="00E97DE6" w:rsidP="002B6561">
            <w:pPr>
              <w:pStyle w:val="NormalWeb"/>
              <w:spacing w:before="0" w:beforeAutospacing="0" w:after="0" w:afterAutospacing="0"/>
              <w:jc w:val="center"/>
              <w:rPr>
                <w:sz w:val="20"/>
                <w:szCs w:val="20"/>
              </w:rPr>
            </w:pPr>
            <w:r>
              <w:rPr>
                <w:color w:val="000000"/>
                <w:sz w:val="20"/>
                <w:szCs w:val="20"/>
              </w:rPr>
              <w:t>Wylleman &amp; Reints (2010); COB (2022)</w:t>
            </w:r>
          </w:p>
        </w:tc>
        <w:tc>
          <w:tcPr>
            <w:tcW w:w="2268" w:type="dxa"/>
            <w:vAlign w:val="center"/>
            <w:hideMark/>
          </w:tcPr>
          <w:p w14:paraId="1010CD4F" w14:textId="77777777" w:rsidR="00E97DE6" w:rsidRDefault="00E97DE6" w:rsidP="002B6561">
            <w:pPr>
              <w:pStyle w:val="NormalWeb"/>
              <w:spacing w:before="0" w:beforeAutospacing="0" w:after="0" w:afterAutospacing="0"/>
              <w:jc w:val="center"/>
              <w:rPr>
                <w:sz w:val="20"/>
                <w:szCs w:val="20"/>
              </w:rPr>
            </w:pPr>
            <w:r>
              <w:rPr>
                <w:color w:val="000000"/>
                <w:sz w:val="20"/>
                <w:szCs w:val="20"/>
              </w:rPr>
              <w:t>Tipos de trajetória de carreira; Fases da carreira esportiva</w:t>
            </w:r>
          </w:p>
        </w:tc>
      </w:tr>
      <w:tr w:rsidR="00E97DE6" w14:paraId="03D50943" w14:textId="77777777" w:rsidTr="002B6561">
        <w:trPr>
          <w:jc w:val="center"/>
        </w:trPr>
        <w:tc>
          <w:tcPr>
            <w:tcW w:w="497" w:type="dxa"/>
            <w:vAlign w:val="center"/>
            <w:hideMark/>
          </w:tcPr>
          <w:p w14:paraId="119E8905" w14:textId="77777777" w:rsidR="00E97DE6" w:rsidRDefault="00E97DE6" w:rsidP="002B6561">
            <w:pPr>
              <w:pStyle w:val="NormalWeb"/>
              <w:spacing w:before="0" w:beforeAutospacing="0" w:after="0" w:afterAutospacing="0"/>
              <w:jc w:val="center"/>
              <w:rPr>
                <w:b/>
                <w:bCs/>
                <w:sz w:val="20"/>
                <w:szCs w:val="20"/>
              </w:rPr>
            </w:pPr>
            <w:r>
              <w:rPr>
                <w:b/>
                <w:bCs/>
                <w:color w:val="000000"/>
                <w:sz w:val="20"/>
                <w:szCs w:val="20"/>
              </w:rPr>
              <w:t>16</w:t>
            </w:r>
          </w:p>
        </w:tc>
        <w:tc>
          <w:tcPr>
            <w:tcW w:w="1063" w:type="dxa"/>
            <w:vAlign w:val="center"/>
            <w:hideMark/>
          </w:tcPr>
          <w:p w14:paraId="09FB3AD8" w14:textId="77777777" w:rsidR="00E97DE6" w:rsidRDefault="002B6561" w:rsidP="002B6561">
            <w:pPr>
              <w:pStyle w:val="NormalWeb"/>
              <w:spacing w:before="0" w:beforeAutospacing="0" w:after="0" w:afterAutospacing="0"/>
              <w:jc w:val="center"/>
              <w:rPr>
                <w:b/>
                <w:bCs/>
                <w:sz w:val="20"/>
                <w:szCs w:val="20"/>
              </w:rPr>
            </w:pPr>
            <w:r>
              <w:rPr>
                <w:b/>
                <w:bCs/>
                <w:color w:val="000000"/>
                <w:sz w:val="20"/>
                <w:szCs w:val="20"/>
              </w:rPr>
              <w:t>Diamante</w:t>
            </w:r>
          </w:p>
        </w:tc>
        <w:tc>
          <w:tcPr>
            <w:tcW w:w="1274" w:type="dxa"/>
            <w:vAlign w:val="center"/>
            <w:hideMark/>
          </w:tcPr>
          <w:p w14:paraId="060D2286" w14:textId="77777777" w:rsidR="00E97DE6" w:rsidRDefault="00E97DE6" w:rsidP="002B6561">
            <w:pPr>
              <w:pStyle w:val="NormalWeb"/>
              <w:spacing w:before="0" w:beforeAutospacing="0" w:after="0" w:afterAutospacing="0"/>
              <w:jc w:val="center"/>
              <w:rPr>
                <w:sz w:val="20"/>
                <w:szCs w:val="20"/>
              </w:rPr>
            </w:pPr>
            <w:r>
              <w:rPr>
                <w:color w:val="000000"/>
                <w:sz w:val="20"/>
                <w:szCs w:val="20"/>
              </w:rPr>
              <w:t>Satisfação com a Vida</w:t>
            </w:r>
          </w:p>
        </w:tc>
        <w:tc>
          <w:tcPr>
            <w:tcW w:w="2836" w:type="dxa"/>
            <w:vAlign w:val="center"/>
            <w:hideMark/>
          </w:tcPr>
          <w:p w14:paraId="40F22F0B" w14:textId="77777777" w:rsidR="00E97DE6" w:rsidRDefault="00E97DE6" w:rsidP="002B6561">
            <w:pPr>
              <w:pStyle w:val="NormalWeb"/>
              <w:spacing w:before="0" w:beforeAutospacing="0" w:after="0" w:afterAutospacing="0"/>
              <w:jc w:val="center"/>
              <w:rPr>
                <w:sz w:val="20"/>
                <w:szCs w:val="20"/>
              </w:rPr>
            </w:pPr>
            <w:r>
              <w:rPr>
                <w:color w:val="000000"/>
                <w:sz w:val="20"/>
                <w:szCs w:val="20"/>
              </w:rPr>
              <w:t>Retomada dos temas trabalhados e relação com a satisfação de vida</w:t>
            </w:r>
          </w:p>
        </w:tc>
        <w:tc>
          <w:tcPr>
            <w:tcW w:w="1558" w:type="dxa"/>
            <w:vAlign w:val="center"/>
            <w:hideMark/>
          </w:tcPr>
          <w:p w14:paraId="260393F6" w14:textId="77777777" w:rsidR="00E97DE6" w:rsidRDefault="00E97DE6" w:rsidP="002B6561">
            <w:pPr>
              <w:pStyle w:val="NormalWeb"/>
              <w:spacing w:before="0" w:beforeAutospacing="0" w:after="0" w:afterAutospacing="0"/>
              <w:jc w:val="center"/>
              <w:rPr>
                <w:sz w:val="20"/>
                <w:szCs w:val="20"/>
              </w:rPr>
            </w:pPr>
            <w:r>
              <w:rPr>
                <w:color w:val="000000"/>
                <w:sz w:val="20"/>
                <w:szCs w:val="20"/>
              </w:rPr>
              <w:t>Diener et al. (1985);</w:t>
            </w:r>
            <w:r>
              <w:rPr>
                <w:sz w:val="20"/>
                <w:szCs w:val="20"/>
              </w:rPr>
              <w:t xml:space="preserve"> </w:t>
            </w:r>
            <w:r>
              <w:rPr>
                <w:color w:val="000000"/>
                <w:sz w:val="20"/>
                <w:szCs w:val="20"/>
              </w:rPr>
              <w:t>Lundqvist (2011)</w:t>
            </w:r>
          </w:p>
        </w:tc>
        <w:tc>
          <w:tcPr>
            <w:tcW w:w="2268" w:type="dxa"/>
            <w:vAlign w:val="center"/>
            <w:hideMark/>
          </w:tcPr>
          <w:p w14:paraId="72500B79" w14:textId="77777777" w:rsidR="00E97DE6" w:rsidRDefault="00E97DE6" w:rsidP="002B6561">
            <w:pPr>
              <w:pStyle w:val="NormalWeb"/>
              <w:spacing w:before="0" w:beforeAutospacing="0" w:after="0" w:afterAutospacing="0"/>
              <w:jc w:val="center"/>
              <w:rPr>
                <w:sz w:val="20"/>
                <w:szCs w:val="20"/>
              </w:rPr>
            </w:pPr>
            <w:r>
              <w:rPr>
                <w:color w:val="000000"/>
                <w:sz w:val="20"/>
                <w:szCs w:val="20"/>
              </w:rPr>
              <w:t>Satisfação com a vida e bem-estar subjetivo; Benefícios em atletas</w:t>
            </w:r>
          </w:p>
        </w:tc>
      </w:tr>
    </w:tbl>
    <w:p w14:paraId="1ED0FCD3" w14:textId="77777777" w:rsidR="00E97DE6" w:rsidRDefault="00E97DE6" w:rsidP="002B6561">
      <w:pPr>
        <w:pStyle w:val="WW-Recuodecorpodetexto2"/>
        <w:ind w:firstLine="0"/>
        <w:rPr>
          <w:color w:val="auto"/>
          <w:sz w:val="18"/>
          <w:szCs w:val="18"/>
        </w:rPr>
      </w:pPr>
      <w:r w:rsidRPr="00E97DE6">
        <w:rPr>
          <w:color w:val="auto"/>
          <w:sz w:val="18"/>
          <w:szCs w:val="18"/>
        </w:rPr>
        <w:t>Legenda: N = número dos encontros</w:t>
      </w:r>
      <w:r w:rsidR="002B6561">
        <w:rPr>
          <w:color w:val="auto"/>
          <w:sz w:val="18"/>
          <w:szCs w:val="18"/>
        </w:rPr>
        <w:t>.</w:t>
      </w:r>
    </w:p>
    <w:p w14:paraId="527FE7F1" w14:textId="77777777" w:rsidR="00B979AE" w:rsidRPr="00E97DE6" w:rsidRDefault="00B979AE" w:rsidP="002B6561">
      <w:pPr>
        <w:pStyle w:val="WW-Recuodecorpodetexto2"/>
        <w:ind w:firstLine="0"/>
        <w:rPr>
          <w:color w:val="auto"/>
          <w:sz w:val="18"/>
          <w:szCs w:val="18"/>
        </w:rPr>
      </w:pPr>
      <w:r>
        <w:rPr>
          <w:color w:val="auto"/>
          <w:sz w:val="18"/>
          <w:szCs w:val="18"/>
        </w:rPr>
        <w:t>Fonte: elaborado pelos autores.</w:t>
      </w:r>
    </w:p>
    <w:p w14:paraId="0FF1F8B9" w14:textId="77777777" w:rsidR="00E97DE6" w:rsidRDefault="00E97DE6" w:rsidP="002B6561">
      <w:pPr>
        <w:pStyle w:val="WW-Recuodecorpodetexto2"/>
        <w:rPr>
          <w:color w:val="auto"/>
        </w:rPr>
      </w:pPr>
    </w:p>
    <w:p w14:paraId="50DF8176" w14:textId="77777777" w:rsidR="00E97DE6" w:rsidRPr="00E97DE6" w:rsidRDefault="00E97DE6" w:rsidP="002B6561">
      <w:pPr>
        <w:pStyle w:val="WW-Recuodecorpodetexto2"/>
        <w:rPr>
          <w:color w:val="auto"/>
        </w:rPr>
      </w:pPr>
      <w:r w:rsidRPr="00E97DE6">
        <w:rPr>
          <w:color w:val="auto"/>
        </w:rPr>
        <w:t>A primeira implicação desse processo é a constatação de que o GMP-SP, embora robusto, precisou ser ajustado para contemplar desafios do ecossistema esportivo brasileiro, descritos por estudos recentes sobre estresse crônico, burnout, pressões organizacionais e demandas psicossociais amplas (COB, 2022; Colagrai et al., 2022; Rubio &amp; Melo, 2019). Nesse sentido, a transposição literal de um modelo canadense para o Brasil não seria suficiente. A análise conceitual inicial revelou a necessidade de reposicionar a saúde mental, originalmente tratada como camada transversal, agora como eixo estruturante e também conteúdo introdutório da intervenção. Assim, o encontro sobre Saúde Mental e Performance, que inaugura o PPMA, não cumpre apenas uma função educativa, mas atua como “chave epistemológica” que alinha todo o programa às recomendações atuais que reconhecem a inseparabilidade entre saúde mental, performance e excelência esportiva (Henriksen et al., 2020; Reardon et al., 2019).</w:t>
      </w:r>
    </w:p>
    <w:p w14:paraId="297664CF" w14:textId="77777777" w:rsidR="00E97DE6" w:rsidRPr="00E97DE6" w:rsidRDefault="00E97DE6" w:rsidP="002B6561">
      <w:pPr>
        <w:pStyle w:val="WW-Recuodecorpodetexto2"/>
        <w:rPr>
          <w:color w:val="auto"/>
        </w:rPr>
      </w:pPr>
      <w:r w:rsidRPr="00E97DE6">
        <w:rPr>
          <w:color w:val="auto"/>
        </w:rPr>
        <w:t>Esse início reconfigurado favorece que, ao longo das sessões subsequentes, temas como motivação, resiliência e confiança, centrais no eixo Ouro, deixem de ser tratados exclusivamente como habilidades voltadas ao rendimento imediato e passem a ser compreendidas como dimensões interdependentes da trajetória esportiva. A estrutura do PPMA permite que atletas revisitem suas razões para permanecer no esporte (Ryan &amp; Deci, 2019), identifiquem seus padrões de resposta diante de adversidades (Bicalho et al., 2022) e ampliem seu repertório de autoconfiança (Bandura, 1997; Vealey &amp; Chase, 2008), articulando tais habilidades com o entendimento prévio da saúde mental enquanto componente central da performance sustentável.</w:t>
      </w:r>
    </w:p>
    <w:p w14:paraId="3E0623FA" w14:textId="77777777" w:rsidR="00E97DE6" w:rsidRPr="00E97DE6" w:rsidRDefault="00E97DE6" w:rsidP="002B6561">
      <w:pPr>
        <w:pStyle w:val="WW-Recuodecorpodetexto2"/>
        <w:rPr>
          <w:color w:val="auto"/>
        </w:rPr>
      </w:pPr>
      <w:r w:rsidRPr="00E97DE6">
        <w:rPr>
          <w:color w:val="auto"/>
        </w:rPr>
        <w:t>Os encontros do Eixo Prata, voltados à autorregulação, emergem como respostas diretas às necessidades identificadas no mapeamento contextual. Em um cenário esportivo marcado por instabilidade estrutural, estressores múltiplos e acúmulo de pressões internas e externas (Angelo, 2019; Colagrai et al., 2022; Fiochi-Marques et al., 2018), habilidades como gestão do estresse, regulação emocional e controle da atenção tornam-se pilares indispensáveis. A organização temática do PPMA, que transita do autoconhecimento à gestão intrapessoal, reflete o ciclo autorregulatório descrito por Kirschenbaum (1984) e Zimmerman (2000): reconhecimento, monitoramento e ajuste. Ao integrar estratégias de enfrentamento (Nicholls &amp; Polman, 2007), visualização como ferramenta de manejo de estresse (Fletcher &amp; Scott, 2010) e princípios da IZOF (Ruiz et al., 2015), o programa oferece caminhos aplicáveis para demandas cotidianas e críticas da competição.</w:t>
      </w:r>
    </w:p>
    <w:p w14:paraId="0C9F124D" w14:textId="77777777" w:rsidR="00E97DE6" w:rsidRPr="00E97DE6" w:rsidRDefault="00E97DE6" w:rsidP="002B6561">
      <w:pPr>
        <w:pStyle w:val="WW-Recuodecorpodetexto2"/>
        <w:rPr>
          <w:color w:val="auto"/>
        </w:rPr>
      </w:pPr>
      <w:r w:rsidRPr="00E97DE6">
        <w:rPr>
          <w:color w:val="auto"/>
        </w:rPr>
        <w:t>O Eixo Bronze, por sua vez, destaca-se por atender a aspectos relacionais frequentemente pouco explorados em programas tradicionais de Treinamento de Habilidades Psicológicas (Greenspan &amp; Feltz, 1989; Weinberg &amp; Gould, 2017). A literatura indica que a relação treinador-atleta, a coesão grupal e os processos comunicacionais impactam diretamente na motivação, confiança e capacidade de regulação emocional (Jowett, 2007; McEwan &amp; Beauchamp, 2014). Evidências empíricas também sustentam essa relação, demonstrando associações significativas entre a qualidade do vínculo treinador-atleta e indicadores de satisfação, desempenho e bem-estar em atletas brasileiros (Nascimento Jr. et al., 2024). Ao incorporar liderança, comunicação e trabalho em equipe como temas estruturados, o PPMA reconhece que a performance não é produto exclusivo do indivíduo, mas emerge de sistemas relacionais complexos. Assim como reconhecido pelo sistema canadense (Durand-Bush et al., 2022), essa escolha responde também a características culturais brasileiras, marcadas por vínculos afetivos fortes, estilos de liderança variados e lacunas comunicacionais identificadas em estudos locais (Angelo, 2019).</w:t>
      </w:r>
    </w:p>
    <w:p w14:paraId="4D8DDDB4" w14:textId="77777777" w:rsidR="00E97DE6" w:rsidRPr="00E97DE6" w:rsidRDefault="00E97DE6" w:rsidP="002B6561">
      <w:pPr>
        <w:pStyle w:val="WW-Recuodecorpodetexto2"/>
        <w:rPr>
          <w:color w:val="auto"/>
        </w:rPr>
      </w:pPr>
      <w:r w:rsidRPr="00E97DE6">
        <w:rPr>
          <w:color w:val="auto"/>
        </w:rPr>
        <w:t xml:space="preserve">A ampliação mais significativa do PPMA, e talvez sua principal contribuição conceitual, está no Eixo </w:t>
      </w:r>
      <w:r w:rsidR="000F5F98">
        <w:rPr>
          <w:color w:val="auto"/>
        </w:rPr>
        <w:t>Diamante, referente à s</w:t>
      </w:r>
      <w:r w:rsidRPr="00E97DE6">
        <w:rPr>
          <w:color w:val="auto"/>
        </w:rPr>
        <w:t xml:space="preserve">aúde </w:t>
      </w:r>
      <w:r w:rsidR="000F5F98">
        <w:rPr>
          <w:color w:val="auto"/>
        </w:rPr>
        <w:t>m</w:t>
      </w:r>
      <w:r w:rsidRPr="00E97DE6">
        <w:rPr>
          <w:color w:val="auto"/>
        </w:rPr>
        <w:t xml:space="preserve">ental e </w:t>
      </w:r>
      <w:r w:rsidR="000F5F98">
        <w:rPr>
          <w:color w:val="auto"/>
        </w:rPr>
        <w:t>p</w:t>
      </w:r>
      <w:r w:rsidRPr="00E97DE6">
        <w:rPr>
          <w:color w:val="auto"/>
        </w:rPr>
        <w:t xml:space="preserve">rojeto de </w:t>
      </w:r>
      <w:r w:rsidR="000F5F98">
        <w:rPr>
          <w:color w:val="auto"/>
        </w:rPr>
        <w:t>v</w:t>
      </w:r>
      <w:r w:rsidRPr="00E97DE6">
        <w:rPr>
          <w:color w:val="auto"/>
        </w:rPr>
        <w:t>ida, inexistente como eixo independente no GMP-SP. Os temas de autocuidado, educação financeira, planejamento de carreira e satisfação com a vida foram integrados não como complementos acessórios, mas como componentes estruturais da intervenção. Esse movimento encontra suporte nos modelos de carreira esportiva (Wylleman &amp; Reints, 2010), nas diretrizes brasileiras de transições e planejamento de carreira (COB, 2022; Rubio, 2025) e nas evidências que associam bem-estar psicossocial à longevidade e consistência no alto rendimento (Lundqvist, 2011). Ao incluir educação financeira, por exemplo, o PPMA responde a um fator de estresse recorrente no esporte nacional, especialmente para atletas de modalidades de menor suporte institucional. Essa iniciativa alinha-se a propostas recentes que reconhecem essa lacuna no país, como o projeto de lei recém aprovado na Câmara dos Deputados para implementação de programas de educação financeira para atletas (Câmara dos Deputados, 2025) e a série de palestras sobre a temática, promovida pela Liga Nacional de Basquete, em parceria com a Caixa Econômica Federal, direcionada a jovens atletas da Liga de Desenvolvimento de Basquete (Liga Nacional de Basquete, 2025).</w:t>
      </w:r>
    </w:p>
    <w:p w14:paraId="567F120A" w14:textId="77777777" w:rsidR="00E97DE6" w:rsidRDefault="00E97DE6" w:rsidP="002B6561">
      <w:pPr>
        <w:pStyle w:val="WW-Recuodecorpodetexto2"/>
        <w:rPr>
          <w:color w:val="auto"/>
        </w:rPr>
      </w:pPr>
      <w:r w:rsidRPr="00E97DE6">
        <w:rPr>
          <w:color w:val="auto"/>
        </w:rPr>
        <w:t>Já o enfoque no autocuidado e nos Primeiros Socorros Psicológicos (Gouttebarge et al., 2019; OMS, 2022) amplia a noção de preparo psicológico para além da</w:t>
      </w:r>
      <w:r w:rsidR="000F5F98">
        <w:rPr>
          <w:color w:val="auto"/>
        </w:rPr>
        <w:t xml:space="preserve"> performance e da</w:t>
      </w:r>
      <w:r w:rsidRPr="00E97DE6">
        <w:rPr>
          <w:color w:val="auto"/>
        </w:rPr>
        <w:t xml:space="preserve"> competição, aproximando a intervenção de práticas de prevenção e promoção de saúde amplamente recomendadas no esporte contemporâneo.</w:t>
      </w:r>
    </w:p>
    <w:p w14:paraId="63E3E6B1" w14:textId="77777777" w:rsidR="00E97DE6" w:rsidRPr="00E97DE6" w:rsidRDefault="00E97DE6" w:rsidP="002B6561">
      <w:pPr>
        <w:pStyle w:val="WW-Recuodecorpodetexto2"/>
        <w:rPr>
          <w:color w:val="auto"/>
        </w:rPr>
      </w:pPr>
    </w:p>
    <w:p w14:paraId="39160512" w14:textId="77777777" w:rsidR="00E97DE6" w:rsidRPr="00E97DE6" w:rsidRDefault="00E97DE6" w:rsidP="002B6561">
      <w:pPr>
        <w:pStyle w:val="WW-Recuodecorpodetexto2"/>
        <w:ind w:firstLine="0"/>
        <w:rPr>
          <w:b/>
          <w:bCs/>
          <w:color w:val="auto"/>
        </w:rPr>
      </w:pPr>
      <w:r w:rsidRPr="00E97DE6">
        <w:rPr>
          <w:b/>
          <w:bCs/>
          <w:color w:val="auto"/>
        </w:rPr>
        <w:t>4 Considerações Finais</w:t>
      </w:r>
    </w:p>
    <w:p w14:paraId="1CCD452E" w14:textId="77777777" w:rsidR="00E97DE6" w:rsidRPr="00E97DE6" w:rsidRDefault="00E97DE6" w:rsidP="002B6561">
      <w:pPr>
        <w:pStyle w:val="WW-Recuodecorpodetexto2"/>
        <w:rPr>
          <w:color w:val="auto"/>
        </w:rPr>
      </w:pPr>
      <w:r w:rsidRPr="00E97DE6">
        <w:rPr>
          <w:color w:val="auto"/>
        </w:rPr>
        <w:t>A construção do PPMA evidencia a possibilidade de integrar fundamentos históricos da Psicologia do Esporte com avanços contemporâneos relacionados à saúde mental, ao bem-estar e à sustentabilidade da carreira esportiva. Ao adaptar o GMP-SP para o contexto brasileiro, o PPMA não apenas traduz conceitos centrais do modelo canadense, mas amplia seu escopo ao incorporar dimensões psicossociais e estruturais que caracterizam o alto rendimento nacional. O resultado é uma intervenção que preserva a solidez teórica do GMP-SP, enquanto responde às demandas culturais, organizacionais e psicológicas do esporte brasileiro.</w:t>
      </w:r>
    </w:p>
    <w:p w14:paraId="09E3ADB0" w14:textId="77777777" w:rsidR="00E97DE6" w:rsidRPr="00E97DE6" w:rsidRDefault="00E97DE6" w:rsidP="002B6561">
      <w:pPr>
        <w:pStyle w:val="WW-Recuodecorpodetexto2"/>
        <w:rPr>
          <w:color w:val="auto"/>
        </w:rPr>
      </w:pPr>
      <w:r w:rsidRPr="00E97DE6">
        <w:rPr>
          <w:color w:val="auto"/>
        </w:rPr>
        <w:t>O protocolo final, composto por dezesseis encontros distribuídos em quatro eixos, apresenta uma progressão lógica que articula habilidades fundamentais, de autorregulação e interpessoais, além de temas de saúde mental e projeto de vida. Esse arranjo reflete, tanto a necessidade de fortalecer recursos psicológicos clássicos, como motivação, resiliência e atenção, quanto a urgência de abordar fatores preventivos e de suporte ao longo da trajetória esportiva, como autocuidado, planejamento de carreira e educação financeira. Tal integração converge com recomendações internacionais que defendem intervenções amplas, preventivas e sustentáveis no esporte de alto rendimento.</w:t>
      </w:r>
    </w:p>
    <w:p w14:paraId="7E8AE059" w14:textId="77777777" w:rsidR="00E97DE6" w:rsidRPr="00E97DE6" w:rsidRDefault="00E97DE6" w:rsidP="002B6561">
      <w:pPr>
        <w:pStyle w:val="WW-Recuodecorpodetexto2"/>
        <w:rPr>
          <w:color w:val="auto"/>
        </w:rPr>
      </w:pPr>
      <w:r w:rsidRPr="00E97DE6">
        <w:rPr>
          <w:color w:val="auto"/>
        </w:rPr>
        <w:t xml:space="preserve">A inovação mais significativa do PPMA está na formalização do </w:t>
      </w:r>
      <w:r w:rsidR="000F5F98">
        <w:rPr>
          <w:color w:val="auto"/>
        </w:rPr>
        <w:t>E</w:t>
      </w:r>
      <w:r w:rsidRPr="00E97DE6">
        <w:rPr>
          <w:color w:val="auto"/>
        </w:rPr>
        <w:t xml:space="preserve">ixo </w:t>
      </w:r>
      <w:r w:rsidR="000F5F98">
        <w:rPr>
          <w:color w:val="auto"/>
        </w:rPr>
        <w:t>Diamante</w:t>
      </w:r>
      <w:r w:rsidRPr="00E97DE6">
        <w:rPr>
          <w:color w:val="auto"/>
        </w:rPr>
        <w:t>, que amplia a compreensão de preparo psicológico para além da competição e se alinha às evidências sobre a importância de redes de apoio, estabilidade pessoal e transições mais bem manejadas. Ao incluir temas incipientes em programas tradicionais do esporte, como gestão financeira e satisfação com a vida, o PPMA contribui para um olhar mais integral sobre a pessoa atleta, reconhecendo que o rendimento esportivo é influenciado por determinantes que extrapolam o ambiente competitivo. Além disso, ao incorporar conteúdos diretamente relacionados à Psicologia da Carreira, o programa estabelece uma interface fundamental entre Psicologia do Esporte, Educação, desenvolvimento pessoal e profissional, reforçando a necessidade de apoiar atletas também em suas trajetórias formativas e nas tomadas de decisão ao longo da vida.</w:t>
      </w:r>
    </w:p>
    <w:p w14:paraId="30CDA501" w14:textId="77777777" w:rsidR="00E97DE6" w:rsidRPr="00E97DE6" w:rsidRDefault="00E97DE6" w:rsidP="002B6561">
      <w:pPr>
        <w:pStyle w:val="WW-Recuodecorpodetexto2"/>
        <w:rPr>
          <w:color w:val="auto"/>
        </w:rPr>
      </w:pPr>
      <w:r w:rsidRPr="00E97DE6">
        <w:rPr>
          <w:color w:val="auto"/>
        </w:rPr>
        <w:t>Como produto teórico-metodológico, o PPMA oferece uma estrutura aplicável e culturalmente sensível, que pode servir de base para intervenções futuras, adaptações em clubes e seleções, e para investigações científicas que avaliem seus impactos sobre diferentes dimensões do desempenho e do bem-estar no esporte. Estudos posteriores poderão testar a eficácia do programa em diferentes modalidades, categorias e fases da carreira, contribuindo para o aprimoramento contínuo do modelo e para o avanço do campo da Psicologia do Esporte aplicada.</w:t>
      </w:r>
    </w:p>
    <w:p w14:paraId="5C3FD5C7" w14:textId="77777777" w:rsidR="00E97DE6" w:rsidRPr="00E97DE6" w:rsidRDefault="00E97DE6" w:rsidP="002B6561">
      <w:pPr>
        <w:pStyle w:val="WW-Recuodecorpodetexto2"/>
        <w:rPr>
          <w:color w:val="auto"/>
        </w:rPr>
      </w:pPr>
      <w:r w:rsidRPr="00E97DE6">
        <w:rPr>
          <w:color w:val="auto"/>
        </w:rPr>
        <w:t>Apesar das contribuições apresentadas, destaca-se como limitação a ausência de um sistema estruturado de avaliação do PPMA que contemple, de forma integrada, seus múltiplos componentes. Nesse sentido, estudos futuros devem investir no desenvolvimento e validação de um conjunto de instrumentos e procedimentos avaliativos capazes de mensurar tanto os processos quanto os resultados da intervenção, permitindo análises mais robustas sobre sua eficácia.</w:t>
      </w:r>
    </w:p>
    <w:p w14:paraId="17F918E6" w14:textId="77777777" w:rsidR="00E97DE6" w:rsidRDefault="00E97DE6" w:rsidP="002B6561">
      <w:pPr>
        <w:pStyle w:val="WW-Recuodecorpodetexto2"/>
        <w:rPr>
          <w:color w:val="auto"/>
        </w:rPr>
      </w:pPr>
      <w:r w:rsidRPr="00E97DE6">
        <w:rPr>
          <w:color w:val="auto"/>
        </w:rPr>
        <w:t>Recomenda-se, ainda, que tais estratégias de avaliação considerem abordagens multimétodo, incluindo medidas psicométricas, observação sistemática, entrevistas, autorrelatos e técnicas mais experienciais, especialmente relevantes no contexto esportivo. A combinação dessas ferramentas pode favorecer uma compreensão mais abrangente do engajamento dos atletas, das mudanças ao longo do processo e dos impactos do programa em diferentes dimensões da performance e do bem-estar.</w:t>
      </w:r>
    </w:p>
    <w:p w14:paraId="4A3CEEB8" w14:textId="77777777" w:rsidR="002A3F49" w:rsidRPr="007A5B0C" w:rsidRDefault="002A3F49" w:rsidP="002B6561">
      <w:pPr>
        <w:tabs>
          <w:tab w:val="left" w:pos="1260"/>
        </w:tabs>
        <w:spacing w:line="360" w:lineRule="auto"/>
        <w:jc w:val="both"/>
        <w:rPr>
          <w:b/>
          <w:sz w:val="22"/>
        </w:rPr>
      </w:pPr>
    </w:p>
    <w:p w14:paraId="1E9EE768" w14:textId="77777777" w:rsidR="002A3F49" w:rsidRDefault="00B979AE" w:rsidP="002B6561">
      <w:pPr>
        <w:tabs>
          <w:tab w:val="left" w:pos="1260"/>
        </w:tabs>
        <w:spacing w:line="360" w:lineRule="auto"/>
        <w:jc w:val="both"/>
        <w:rPr>
          <w:b/>
          <w:sz w:val="22"/>
          <w:szCs w:val="22"/>
        </w:rPr>
      </w:pPr>
      <w:r>
        <w:rPr>
          <w:b/>
          <w:sz w:val="22"/>
          <w:szCs w:val="22"/>
        </w:rPr>
        <w:t xml:space="preserve">5 </w:t>
      </w:r>
      <w:r w:rsidR="002A3F49" w:rsidRPr="00E97DE6">
        <w:rPr>
          <w:b/>
          <w:sz w:val="22"/>
          <w:szCs w:val="22"/>
        </w:rPr>
        <w:t>Referências</w:t>
      </w:r>
    </w:p>
    <w:p w14:paraId="51203D19" w14:textId="77777777" w:rsidR="00C91EE1" w:rsidRPr="009827F3" w:rsidRDefault="00C91EE1" w:rsidP="002B6561">
      <w:pPr>
        <w:tabs>
          <w:tab w:val="left" w:pos="1260"/>
        </w:tabs>
        <w:spacing w:line="360" w:lineRule="auto"/>
        <w:jc w:val="both"/>
        <w:rPr>
          <w:bCs/>
          <w:sz w:val="22"/>
          <w:szCs w:val="22"/>
          <w:lang w:val="en-US"/>
        </w:rPr>
      </w:pPr>
      <w:r w:rsidRPr="00C91EE1">
        <w:rPr>
          <w:bCs/>
          <w:sz w:val="22"/>
          <w:szCs w:val="22"/>
        </w:rPr>
        <w:t xml:space="preserve">ANGELO, L. </w:t>
      </w:r>
      <w:r w:rsidRPr="00C91EE1">
        <w:rPr>
          <w:b/>
          <w:sz w:val="22"/>
          <w:szCs w:val="22"/>
        </w:rPr>
        <w:t>Esporte de alto rendimento como escolha profissional.</w:t>
      </w:r>
      <w:r w:rsidRPr="00C91EE1">
        <w:rPr>
          <w:bCs/>
          <w:sz w:val="22"/>
          <w:szCs w:val="22"/>
        </w:rPr>
        <w:t xml:space="preserve"> In: RUBIO, K.; CAMILO, J. A. O. (org.). Psicologia social do esporte. </w:t>
      </w:r>
      <w:r w:rsidRPr="009827F3">
        <w:rPr>
          <w:bCs/>
          <w:sz w:val="22"/>
          <w:szCs w:val="22"/>
          <w:lang w:val="en-US"/>
        </w:rPr>
        <w:t>Laços, 2019. p. 139–152.</w:t>
      </w:r>
    </w:p>
    <w:p w14:paraId="5CD4CA63" w14:textId="77777777" w:rsidR="00C91EE1" w:rsidRPr="009827F3" w:rsidRDefault="00C91EE1" w:rsidP="002B6561">
      <w:pPr>
        <w:tabs>
          <w:tab w:val="left" w:pos="1260"/>
        </w:tabs>
        <w:spacing w:line="360" w:lineRule="auto"/>
        <w:jc w:val="both"/>
        <w:rPr>
          <w:bCs/>
          <w:sz w:val="22"/>
          <w:szCs w:val="22"/>
          <w:lang w:val="en-US"/>
        </w:rPr>
      </w:pPr>
      <w:r w:rsidRPr="009827F3">
        <w:rPr>
          <w:bCs/>
          <w:sz w:val="22"/>
          <w:szCs w:val="22"/>
          <w:lang w:val="en-US"/>
        </w:rPr>
        <w:t xml:space="preserve">BALAGUÉ, G. Periodization of psychological skills training. </w:t>
      </w:r>
      <w:r w:rsidRPr="009827F3">
        <w:rPr>
          <w:b/>
          <w:sz w:val="22"/>
          <w:szCs w:val="22"/>
          <w:lang w:val="en-US"/>
        </w:rPr>
        <w:t>Journal of Science and Medicine in Sport</w:t>
      </w:r>
      <w:r w:rsidRPr="009827F3">
        <w:rPr>
          <w:bCs/>
          <w:sz w:val="22"/>
          <w:szCs w:val="22"/>
          <w:lang w:val="en-US"/>
        </w:rPr>
        <w:t>, v. 3, n. 3, p. 230–237, 2000. DOI: https://doi.org/10.1016/S1440-2440(00)80031-6</w:t>
      </w:r>
    </w:p>
    <w:p w14:paraId="6A651DCA" w14:textId="77777777" w:rsidR="00C91EE1" w:rsidRPr="009827F3" w:rsidRDefault="00C91EE1" w:rsidP="002B6561">
      <w:pPr>
        <w:tabs>
          <w:tab w:val="left" w:pos="1260"/>
        </w:tabs>
        <w:spacing w:line="360" w:lineRule="auto"/>
        <w:jc w:val="both"/>
        <w:rPr>
          <w:bCs/>
          <w:sz w:val="22"/>
          <w:szCs w:val="22"/>
          <w:lang w:val="en-US"/>
        </w:rPr>
      </w:pPr>
      <w:r w:rsidRPr="009827F3">
        <w:rPr>
          <w:bCs/>
          <w:sz w:val="22"/>
          <w:szCs w:val="22"/>
          <w:lang w:val="en-US"/>
        </w:rPr>
        <w:t xml:space="preserve">BANDURA, A. </w:t>
      </w:r>
      <w:r w:rsidRPr="009827F3">
        <w:rPr>
          <w:b/>
          <w:sz w:val="22"/>
          <w:szCs w:val="22"/>
          <w:lang w:val="en-US"/>
        </w:rPr>
        <w:t>Self-efficacy: The exercise of control</w:t>
      </w:r>
      <w:r w:rsidRPr="009827F3">
        <w:rPr>
          <w:bCs/>
          <w:sz w:val="22"/>
          <w:szCs w:val="22"/>
          <w:lang w:val="en-US"/>
        </w:rPr>
        <w:t>. New York: W. H. Freeman, 1997.</w:t>
      </w:r>
    </w:p>
    <w:p w14:paraId="4434C8D1" w14:textId="77777777" w:rsidR="00C91EE1" w:rsidRPr="00C91EE1" w:rsidRDefault="00C91EE1" w:rsidP="002B6561">
      <w:pPr>
        <w:tabs>
          <w:tab w:val="left" w:pos="1260"/>
        </w:tabs>
        <w:spacing w:line="360" w:lineRule="auto"/>
        <w:jc w:val="both"/>
        <w:rPr>
          <w:bCs/>
          <w:sz w:val="22"/>
          <w:szCs w:val="22"/>
        </w:rPr>
      </w:pPr>
      <w:r w:rsidRPr="00C91EE1">
        <w:rPr>
          <w:bCs/>
          <w:sz w:val="22"/>
          <w:szCs w:val="22"/>
        </w:rPr>
        <w:t xml:space="preserve">BICALHO, C. C. F.; MELO, G. F.; NOCE, F. Evidências de validade e perspectivas para escalas de resiliência no esporte. </w:t>
      </w:r>
      <w:r w:rsidRPr="00C91EE1">
        <w:rPr>
          <w:b/>
          <w:sz w:val="22"/>
          <w:szCs w:val="22"/>
        </w:rPr>
        <w:t>Psicologia: Teoria e Pesquisa</w:t>
      </w:r>
      <w:r w:rsidRPr="00C91EE1">
        <w:rPr>
          <w:bCs/>
          <w:sz w:val="22"/>
          <w:szCs w:val="22"/>
        </w:rPr>
        <w:t>, v. 38, e38214, 2022. DOI: https://doi.org/10.1590/0102.3772e38214.en</w:t>
      </w:r>
    </w:p>
    <w:p w14:paraId="3808CC1F" w14:textId="77777777" w:rsidR="00C91EE1" w:rsidRPr="009827F3" w:rsidRDefault="00C91EE1" w:rsidP="002B6561">
      <w:pPr>
        <w:tabs>
          <w:tab w:val="left" w:pos="1260"/>
        </w:tabs>
        <w:spacing w:line="360" w:lineRule="auto"/>
        <w:jc w:val="both"/>
        <w:rPr>
          <w:bCs/>
          <w:sz w:val="22"/>
          <w:szCs w:val="22"/>
          <w:lang w:val="en-US"/>
        </w:rPr>
      </w:pPr>
      <w:r w:rsidRPr="009827F3">
        <w:rPr>
          <w:bCs/>
          <w:sz w:val="22"/>
          <w:szCs w:val="22"/>
          <w:lang w:val="en-US"/>
        </w:rPr>
        <w:t xml:space="preserve">BOUTCHER, S. H. </w:t>
      </w:r>
      <w:r w:rsidRPr="009827F3">
        <w:rPr>
          <w:b/>
          <w:sz w:val="22"/>
          <w:szCs w:val="22"/>
          <w:lang w:val="en-US"/>
        </w:rPr>
        <w:t>Attentional processes and sport performance</w:t>
      </w:r>
      <w:r w:rsidRPr="009827F3">
        <w:rPr>
          <w:bCs/>
          <w:sz w:val="22"/>
          <w:szCs w:val="22"/>
          <w:lang w:val="en-US"/>
        </w:rPr>
        <w:t>. In: HORN, T. S. (ed.). Advances in sport psychology. 2. ed. Champaign: Human Kinetics, 2002. p. 441–457.</w:t>
      </w:r>
    </w:p>
    <w:p w14:paraId="448BA511" w14:textId="77777777" w:rsidR="00C91EE1" w:rsidRPr="009827F3" w:rsidRDefault="00C91EE1" w:rsidP="002B6561">
      <w:pPr>
        <w:tabs>
          <w:tab w:val="left" w:pos="1260"/>
        </w:tabs>
        <w:spacing w:line="360" w:lineRule="auto"/>
        <w:jc w:val="both"/>
        <w:rPr>
          <w:bCs/>
          <w:sz w:val="22"/>
          <w:szCs w:val="22"/>
          <w:lang w:val="en-US"/>
        </w:rPr>
      </w:pPr>
      <w:r w:rsidRPr="009827F3">
        <w:rPr>
          <w:bCs/>
          <w:sz w:val="22"/>
          <w:szCs w:val="22"/>
          <w:lang w:val="en-US"/>
        </w:rPr>
        <w:t xml:space="preserve">BREWER, B. W. </w:t>
      </w:r>
      <w:r w:rsidRPr="009827F3">
        <w:rPr>
          <w:b/>
          <w:sz w:val="22"/>
          <w:szCs w:val="22"/>
          <w:lang w:val="en-US"/>
        </w:rPr>
        <w:t>Athletic identity.</w:t>
      </w:r>
      <w:r w:rsidRPr="009827F3">
        <w:rPr>
          <w:bCs/>
          <w:sz w:val="22"/>
          <w:szCs w:val="22"/>
          <w:lang w:val="en-US"/>
        </w:rPr>
        <w:t xml:space="preserve"> In: GURUNG, R.; SHAPIRO, J. (ed.). Routledge encyclopedia of psychology. Routledge, 2023. DOI: https://doi.org/10.4324/9780367198459-REPRW218-1</w:t>
      </w:r>
    </w:p>
    <w:p w14:paraId="3C4854EB" w14:textId="77777777" w:rsidR="00C91EE1" w:rsidRPr="00C91EE1" w:rsidRDefault="00C91EE1" w:rsidP="002B6561">
      <w:pPr>
        <w:tabs>
          <w:tab w:val="left" w:pos="1260"/>
        </w:tabs>
        <w:spacing w:line="360" w:lineRule="auto"/>
        <w:jc w:val="both"/>
        <w:rPr>
          <w:bCs/>
          <w:sz w:val="22"/>
          <w:szCs w:val="22"/>
        </w:rPr>
      </w:pPr>
      <w:r w:rsidRPr="00C91EE1">
        <w:rPr>
          <w:bCs/>
          <w:sz w:val="22"/>
          <w:szCs w:val="22"/>
        </w:rPr>
        <w:t xml:space="preserve">CÂMARA DOS DEPUTADOS. </w:t>
      </w:r>
      <w:r w:rsidRPr="00C91EE1">
        <w:rPr>
          <w:b/>
          <w:sz w:val="22"/>
          <w:szCs w:val="22"/>
        </w:rPr>
        <w:t>Comissão aprova educação financeira para atletas.</w:t>
      </w:r>
      <w:r w:rsidRPr="00C91EE1">
        <w:rPr>
          <w:bCs/>
          <w:sz w:val="22"/>
          <w:szCs w:val="22"/>
        </w:rPr>
        <w:t xml:space="preserve"> 2025. Disponível em: https://www.camara.leg.br/noticias/1207464-comissao-aprova-educacao-financeira-para-atletas/</w:t>
      </w:r>
    </w:p>
    <w:p w14:paraId="3DEE89BF" w14:textId="77777777" w:rsidR="00C91EE1" w:rsidRPr="009827F3" w:rsidRDefault="00C91EE1" w:rsidP="002B6561">
      <w:pPr>
        <w:tabs>
          <w:tab w:val="left" w:pos="1260"/>
        </w:tabs>
        <w:spacing w:line="360" w:lineRule="auto"/>
        <w:jc w:val="both"/>
        <w:rPr>
          <w:bCs/>
          <w:sz w:val="22"/>
          <w:szCs w:val="22"/>
          <w:lang w:val="en-US"/>
        </w:rPr>
      </w:pPr>
      <w:r w:rsidRPr="00C91EE1">
        <w:rPr>
          <w:bCs/>
          <w:sz w:val="22"/>
          <w:szCs w:val="22"/>
        </w:rPr>
        <w:t xml:space="preserve">COLAGRAI, A. C. et al. Saúde e transtorno mental no atleta de alto rendimento: mapeamento dos artigos científicos internacionais. </w:t>
      </w:r>
      <w:r w:rsidRPr="009827F3">
        <w:rPr>
          <w:b/>
          <w:sz w:val="22"/>
          <w:szCs w:val="22"/>
          <w:lang w:val="en-US"/>
        </w:rPr>
        <w:t>Movimento,</w:t>
      </w:r>
      <w:r w:rsidRPr="009827F3">
        <w:rPr>
          <w:bCs/>
          <w:sz w:val="22"/>
          <w:szCs w:val="22"/>
          <w:lang w:val="en-US"/>
        </w:rPr>
        <w:t xml:space="preserve"> v. 28, e28008, 2022. DOI: https://doi.org/10.22456/1982-8918.118845</w:t>
      </w:r>
    </w:p>
    <w:p w14:paraId="03273E14" w14:textId="77777777" w:rsidR="00C91EE1" w:rsidRPr="009827F3" w:rsidRDefault="00C91EE1" w:rsidP="002B6561">
      <w:pPr>
        <w:tabs>
          <w:tab w:val="left" w:pos="1260"/>
        </w:tabs>
        <w:spacing w:line="360" w:lineRule="auto"/>
        <w:jc w:val="both"/>
        <w:rPr>
          <w:bCs/>
          <w:sz w:val="22"/>
          <w:szCs w:val="22"/>
          <w:lang w:val="en-US"/>
        </w:rPr>
      </w:pPr>
      <w:r w:rsidRPr="009827F3">
        <w:rPr>
          <w:bCs/>
          <w:sz w:val="22"/>
          <w:szCs w:val="22"/>
          <w:lang w:val="en-US"/>
        </w:rPr>
        <w:t xml:space="preserve">COLLINS, J.; DURAND-BUSH, N. The Optimal Team Functioning (OTF) Model. </w:t>
      </w:r>
      <w:r w:rsidRPr="009827F3">
        <w:rPr>
          <w:b/>
          <w:sz w:val="22"/>
          <w:szCs w:val="22"/>
          <w:lang w:val="en-US"/>
        </w:rPr>
        <w:t xml:space="preserve">Journal of Applied Sport Psychology, </w:t>
      </w:r>
      <w:r w:rsidRPr="009827F3">
        <w:rPr>
          <w:bCs/>
          <w:sz w:val="22"/>
          <w:szCs w:val="22"/>
          <w:lang w:val="en-US"/>
        </w:rPr>
        <w:t>v. 31, n. 4, p. 405–426, 2019. DOI: https://doi.org/10.1080/10413200.2018.1512536</w:t>
      </w:r>
    </w:p>
    <w:p w14:paraId="13854901" w14:textId="77777777" w:rsidR="00C91EE1" w:rsidRPr="00C91EE1" w:rsidRDefault="00C91EE1" w:rsidP="002B6561">
      <w:pPr>
        <w:tabs>
          <w:tab w:val="left" w:pos="1260"/>
        </w:tabs>
        <w:spacing w:line="360" w:lineRule="auto"/>
        <w:jc w:val="both"/>
        <w:rPr>
          <w:bCs/>
          <w:sz w:val="22"/>
          <w:szCs w:val="22"/>
        </w:rPr>
      </w:pPr>
      <w:r w:rsidRPr="00C91EE1">
        <w:rPr>
          <w:bCs/>
          <w:sz w:val="22"/>
          <w:szCs w:val="22"/>
        </w:rPr>
        <w:t xml:space="preserve">COMITÊ OLÍMPICO DO BRASIL. </w:t>
      </w:r>
      <w:r w:rsidRPr="00C91EE1">
        <w:rPr>
          <w:b/>
          <w:sz w:val="22"/>
          <w:szCs w:val="22"/>
        </w:rPr>
        <w:t>Modelo de desenvolvimento esportivo do Comitê Olímpico do Brasil.</w:t>
      </w:r>
      <w:r w:rsidRPr="00C91EE1">
        <w:rPr>
          <w:bCs/>
          <w:sz w:val="22"/>
          <w:szCs w:val="22"/>
        </w:rPr>
        <w:t xml:space="preserve"> 2022. Disponível em: https://www.cob.org.br/pt/documentos/conteudos-tecnicos</w:t>
      </w:r>
    </w:p>
    <w:p w14:paraId="7B4E66A1" w14:textId="77777777" w:rsidR="00C91EE1" w:rsidRPr="00C91EE1" w:rsidRDefault="00C91EE1" w:rsidP="002B6561">
      <w:pPr>
        <w:tabs>
          <w:tab w:val="left" w:pos="1260"/>
        </w:tabs>
        <w:spacing w:line="360" w:lineRule="auto"/>
        <w:jc w:val="both"/>
        <w:rPr>
          <w:bCs/>
          <w:sz w:val="22"/>
          <w:szCs w:val="22"/>
        </w:rPr>
      </w:pPr>
      <w:r w:rsidRPr="009827F3">
        <w:rPr>
          <w:bCs/>
          <w:sz w:val="22"/>
          <w:szCs w:val="22"/>
          <w:lang w:val="en-US"/>
        </w:rPr>
        <w:t xml:space="preserve">CLOUGH, P. J.; EARLE, K.; SEWELL, D. </w:t>
      </w:r>
      <w:r w:rsidRPr="009827F3">
        <w:rPr>
          <w:b/>
          <w:sz w:val="22"/>
          <w:szCs w:val="22"/>
          <w:lang w:val="en-US"/>
        </w:rPr>
        <w:t>Mental toughness</w:t>
      </w:r>
      <w:r w:rsidRPr="009827F3">
        <w:rPr>
          <w:bCs/>
          <w:sz w:val="22"/>
          <w:szCs w:val="22"/>
          <w:lang w:val="en-US"/>
        </w:rPr>
        <w:t xml:space="preserve">. In: COCKERILL, I. (ed.). Solutions in sport psychology. </w:t>
      </w:r>
      <w:r w:rsidRPr="00C91EE1">
        <w:rPr>
          <w:bCs/>
          <w:sz w:val="22"/>
          <w:szCs w:val="22"/>
        </w:rPr>
        <w:t>London: Thomson, 2002. p. 32–43.</w:t>
      </w:r>
    </w:p>
    <w:p w14:paraId="09C43956" w14:textId="77777777" w:rsidR="00C91EE1" w:rsidRPr="009827F3" w:rsidRDefault="00C91EE1" w:rsidP="002B6561">
      <w:pPr>
        <w:tabs>
          <w:tab w:val="left" w:pos="1260"/>
        </w:tabs>
        <w:spacing w:line="360" w:lineRule="auto"/>
        <w:jc w:val="both"/>
        <w:rPr>
          <w:bCs/>
          <w:sz w:val="22"/>
          <w:szCs w:val="22"/>
          <w:lang w:val="en-US"/>
        </w:rPr>
      </w:pPr>
      <w:r w:rsidRPr="00C91EE1">
        <w:rPr>
          <w:bCs/>
          <w:sz w:val="22"/>
          <w:szCs w:val="22"/>
        </w:rPr>
        <w:t xml:space="preserve">DIENER, E. et al. The Satisfaction With Life Scale. </w:t>
      </w:r>
      <w:r w:rsidRPr="009827F3">
        <w:rPr>
          <w:b/>
          <w:sz w:val="22"/>
          <w:szCs w:val="22"/>
          <w:lang w:val="en-US"/>
        </w:rPr>
        <w:t>Journal of Personality Assessment</w:t>
      </w:r>
      <w:r w:rsidRPr="009827F3">
        <w:rPr>
          <w:bCs/>
          <w:sz w:val="22"/>
          <w:szCs w:val="22"/>
          <w:lang w:val="en-US"/>
        </w:rPr>
        <w:t>, v. 49, n. 1, p. 71–75, 1985. DOI: https://doi.org/10.1207/s15327752jpa4901_13</w:t>
      </w:r>
    </w:p>
    <w:p w14:paraId="47D83BAF" w14:textId="77777777" w:rsidR="00C91EE1" w:rsidRPr="009827F3" w:rsidRDefault="00C91EE1" w:rsidP="002B6561">
      <w:pPr>
        <w:tabs>
          <w:tab w:val="left" w:pos="1260"/>
        </w:tabs>
        <w:spacing w:line="360" w:lineRule="auto"/>
        <w:jc w:val="both"/>
        <w:rPr>
          <w:bCs/>
          <w:sz w:val="22"/>
          <w:szCs w:val="22"/>
          <w:lang w:val="en-US"/>
        </w:rPr>
      </w:pPr>
      <w:r w:rsidRPr="009827F3">
        <w:rPr>
          <w:bCs/>
          <w:sz w:val="22"/>
          <w:szCs w:val="22"/>
          <w:lang w:val="en-US"/>
        </w:rPr>
        <w:t>DURAND-BUSH, N. et al. The Gold Medal Profile for Sport Psychology (GMP-SP).</w:t>
      </w:r>
      <w:r w:rsidRPr="009827F3">
        <w:rPr>
          <w:b/>
          <w:sz w:val="22"/>
          <w:szCs w:val="22"/>
          <w:lang w:val="en-US"/>
        </w:rPr>
        <w:t xml:space="preserve"> Journal of Applied Sport Psychology,</w:t>
      </w:r>
      <w:r w:rsidRPr="009827F3">
        <w:rPr>
          <w:bCs/>
          <w:sz w:val="22"/>
          <w:szCs w:val="22"/>
          <w:lang w:val="en-US"/>
        </w:rPr>
        <w:t xml:space="preserve"> 2022. DOI: https://doi.org/10.1080/10413200.2022.2055224</w:t>
      </w:r>
    </w:p>
    <w:p w14:paraId="4D767F31" w14:textId="77777777" w:rsidR="00C91EE1" w:rsidRPr="00C91EE1" w:rsidRDefault="00C91EE1" w:rsidP="002B6561">
      <w:pPr>
        <w:tabs>
          <w:tab w:val="left" w:pos="1260"/>
        </w:tabs>
        <w:spacing w:line="360" w:lineRule="auto"/>
        <w:jc w:val="both"/>
        <w:rPr>
          <w:bCs/>
          <w:sz w:val="22"/>
          <w:szCs w:val="22"/>
        </w:rPr>
      </w:pPr>
      <w:r w:rsidRPr="009827F3">
        <w:rPr>
          <w:bCs/>
          <w:sz w:val="22"/>
          <w:szCs w:val="22"/>
          <w:lang w:val="en-US"/>
        </w:rPr>
        <w:t xml:space="preserve">ERIKSON, E. H. </w:t>
      </w:r>
      <w:r w:rsidRPr="009827F3">
        <w:rPr>
          <w:b/>
          <w:sz w:val="22"/>
          <w:szCs w:val="22"/>
          <w:lang w:val="en-US"/>
        </w:rPr>
        <w:t>Identidade: juventude e crise</w:t>
      </w:r>
      <w:r w:rsidRPr="009827F3">
        <w:rPr>
          <w:bCs/>
          <w:sz w:val="22"/>
          <w:szCs w:val="22"/>
          <w:lang w:val="en-US"/>
        </w:rPr>
        <w:t xml:space="preserve">. </w:t>
      </w:r>
      <w:r w:rsidRPr="00C91EE1">
        <w:rPr>
          <w:bCs/>
          <w:sz w:val="22"/>
          <w:szCs w:val="22"/>
        </w:rPr>
        <w:t>2. ed. Rio de Janeiro: Guanabara, 1987.</w:t>
      </w:r>
    </w:p>
    <w:p w14:paraId="55FA53BD" w14:textId="77777777" w:rsidR="00C91EE1" w:rsidRPr="009827F3" w:rsidRDefault="00C91EE1" w:rsidP="002B6561">
      <w:pPr>
        <w:tabs>
          <w:tab w:val="left" w:pos="1260"/>
        </w:tabs>
        <w:spacing w:line="360" w:lineRule="auto"/>
        <w:jc w:val="both"/>
        <w:rPr>
          <w:bCs/>
          <w:sz w:val="22"/>
          <w:szCs w:val="22"/>
          <w:lang w:val="en-US"/>
        </w:rPr>
      </w:pPr>
      <w:r w:rsidRPr="00C91EE1">
        <w:rPr>
          <w:bCs/>
          <w:sz w:val="22"/>
          <w:szCs w:val="22"/>
        </w:rPr>
        <w:t xml:space="preserve">FERNANDES, P. T. (org.). </w:t>
      </w:r>
      <w:r w:rsidRPr="00C91EE1">
        <w:rPr>
          <w:b/>
          <w:sz w:val="22"/>
          <w:szCs w:val="22"/>
        </w:rPr>
        <w:t xml:space="preserve">Psicologia do esporte: treinamento e alto rendimento. </w:t>
      </w:r>
      <w:r w:rsidRPr="009827F3">
        <w:rPr>
          <w:bCs/>
          <w:sz w:val="22"/>
          <w:szCs w:val="22"/>
          <w:lang w:val="en-US"/>
        </w:rPr>
        <w:t>Curitiba: CRV, 2025.</w:t>
      </w:r>
    </w:p>
    <w:p w14:paraId="7F6B6ACC" w14:textId="77777777" w:rsidR="00C91EE1" w:rsidRPr="00C91EE1" w:rsidRDefault="00C91EE1" w:rsidP="002B6561">
      <w:pPr>
        <w:tabs>
          <w:tab w:val="left" w:pos="1260"/>
        </w:tabs>
        <w:spacing w:line="360" w:lineRule="auto"/>
        <w:jc w:val="both"/>
        <w:rPr>
          <w:bCs/>
          <w:sz w:val="22"/>
          <w:szCs w:val="22"/>
        </w:rPr>
      </w:pPr>
      <w:r w:rsidRPr="009827F3">
        <w:rPr>
          <w:bCs/>
          <w:sz w:val="22"/>
          <w:szCs w:val="22"/>
          <w:lang w:val="en-US"/>
        </w:rPr>
        <w:t xml:space="preserve">FLETCHER, D.; SCOTT, M. Psychological stress in sports coaches. </w:t>
      </w:r>
      <w:r w:rsidRPr="009827F3">
        <w:rPr>
          <w:b/>
          <w:sz w:val="22"/>
          <w:szCs w:val="22"/>
          <w:lang w:val="en-US"/>
        </w:rPr>
        <w:t>Journal of Sports Sciences,</w:t>
      </w:r>
      <w:r w:rsidRPr="009827F3">
        <w:rPr>
          <w:bCs/>
          <w:sz w:val="22"/>
          <w:szCs w:val="22"/>
          <w:lang w:val="en-US"/>
        </w:rPr>
        <w:t xml:space="preserve"> v. 28, n. 2, p. 127–137, 2010. </w:t>
      </w:r>
      <w:r w:rsidRPr="00C91EE1">
        <w:rPr>
          <w:bCs/>
          <w:sz w:val="22"/>
          <w:szCs w:val="22"/>
        </w:rPr>
        <w:t>DOI: https://doi.org/10.1080/02640410903406208</w:t>
      </w:r>
    </w:p>
    <w:p w14:paraId="56ED1EF3" w14:textId="77777777" w:rsidR="00C91EE1" w:rsidRPr="00C91EE1" w:rsidRDefault="00C91EE1" w:rsidP="002B6561">
      <w:pPr>
        <w:tabs>
          <w:tab w:val="left" w:pos="1260"/>
        </w:tabs>
        <w:spacing w:line="360" w:lineRule="auto"/>
        <w:jc w:val="both"/>
        <w:rPr>
          <w:bCs/>
          <w:sz w:val="22"/>
          <w:szCs w:val="22"/>
        </w:rPr>
      </w:pPr>
      <w:r w:rsidRPr="00C91EE1">
        <w:rPr>
          <w:bCs/>
          <w:sz w:val="22"/>
          <w:szCs w:val="22"/>
        </w:rPr>
        <w:t xml:space="preserve">FIOCHI-MARQUES, M. et al. Construção da carreira do universitário-atleta. </w:t>
      </w:r>
      <w:r w:rsidRPr="00C91EE1">
        <w:rPr>
          <w:b/>
          <w:sz w:val="22"/>
          <w:szCs w:val="22"/>
        </w:rPr>
        <w:t>Psicologia Revista</w:t>
      </w:r>
      <w:r w:rsidRPr="00C91EE1">
        <w:rPr>
          <w:bCs/>
          <w:sz w:val="22"/>
          <w:szCs w:val="22"/>
        </w:rPr>
        <w:t>, v. 27, p. 679–706, 2018. DOI: https://doi.org/10.23925/2594-3871.2018v27i3p679-706</w:t>
      </w:r>
    </w:p>
    <w:p w14:paraId="61C94071" w14:textId="77777777" w:rsidR="00C91EE1" w:rsidRPr="009827F3" w:rsidRDefault="00C91EE1" w:rsidP="002B6561">
      <w:pPr>
        <w:tabs>
          <w:tab w:val="left" w:pos="1260"/>
        </w:tabs>
        <w:spacing w:line="360" w:lineRule="auto"/>
        <w:jc w:val="both"/>
        <w:rPr>
          <w:bCs/>
          <w:sz w:val="22"/>
          <w:szCs w:val="22"/>
          <w:lang w:val="en-US"/>
        </w:rPr>
      </w:pPr>
      <w:r w:rsidRPr="00C91EE1">
        <w:rPr>
          <w:bCs/>
          <w:sz w:val="22"/>
          <w:szCs w:val="22"/>
        </w:rPr>
        <w:t xml:space="preserve">GOUTTEBARGE, V. et al. Mental health symptoms in elite athletes. </w:t>
      </w:r>
      <w:r w:rsidRPr="009827F3">
        <w:rPr>
          <w:b/>
          <w:sz w:val="22"/>
          <w:szCs w:val="22"/>
          <w:lang w:val="en-US"/>
        </w:rPr>
        <w:t>British Journal of Sports Medicine,</w:t>
      </w:r>
      <w:r w:rsidRPr="009827F3">
        <w:rPr>
          <w:bCs/>
          <w:sz w:val="22"/>
          <w:szCs w:val="22"/>
          <w:lang w:val="en-US"/>
        </w:rPr>
        <w:t xml:space="preserve"> v. 53, n. 11, p. 700–706, 2019. DOI: https://doi.org/10.1136/bjsports-2019-100671</w:t>
      </w:r>
    </w:p>
    <w:p w14:paraId="00BA2C09" w14:textId="77777777" w:rsidR="00C91EE1" w:rsidRPr="009827F3" w:rsidRDefault="00C91EE1" w:rsidP="002B6561">
      <w:pPr>
        <w:tabs>
          <w:tab w:val="left" w:pos="1260"/>
        </w:tabs>
        <w:spacing w:line="360" w:lineRule="auto"/>
        <w:jc w:val="both"/>
        <w:rPr>
          <w:bCs/>
          <w:sz w:val="22"/>
          <w:szCs w:val="22"/>
          <w:lang w:val="en-US"/>
        </w:rPr>
      </w:pPr>
      <w:r w:rsidRPr="009827F3">
        <w:rPr>
          <w:bCs/>
          <w:sz w:val="22"/>
          <w:szCs w:val="22"/>
          <w:lang w:val="en-US"/>
        </w:rPr>
        <w:t xml:space="preserve">GREENSPAN, M. J.; FELTZ, D. L. Psychological interventions with athletes. </w:t>
      </w:r>
      <w:r w:rsidRPr="009827F3">
        <w:rPr>
          <w:b/>
          <w:sz w:val="22"/>
          <w:szCs w:val="22"/>
          <w:lang w:val="en-US"/>
        </w:rPr>
        <w:t>The Sport Psychologist,</w:t>
      </w:r>
      <w:r w:rsidRPr="009827F3">
        <w:rPr>
          <w:bCs/>
          <w:sz w:val="22"/>
          <w:szCs w:val="22"/>
          <w:lang w:val="en-US"/>
        </w:rPr>
        <w:t xml:space="preserve"> v. 3, n. 3, p. 219–236, 1989. DOI: https://doi.org/10.1123/tsp.3.3.219</w:t>
      </w:r>
    </w:p>
    <w:p w14:paraId="013807DA" w14:textId="77777777" w:rsidR="00E97DE6" w:rsidRPr="009827F3" w:rsidRDefault="00C91EE1" w:rsidP="002B6561">
      <w:pPr>
        <w:tabs>
          <w:tab w:val="left" w:pos="1260"/>
        </w:tabs>
        <w:spacing w:line="360" w:lineRule="auto"/>
        <w:jc w:val="both"/>
        <w:rPr>
          <w:bCs/>
          <w:sz w:val="22"/>
          <w:szCs w:val="22"/>
          <w:lang w:val="en-US"/>
        </w:rPr>
      </w:pPr>
      <w:r w:rsidRPr="009827F3">
        <w:rPr>
          <w:bCs/>
          <w:sz w:val="22"/>
          <w:szCs w:val="22"/>
          <w:lang w:val="en-US"/>
        </w:rPr>
        <w:t xml:space="preserve">GROSS, J. J. Emotion regulation. </w:t>
      </w:r>
      <w:r w:rsidRPr="009827F3">
        <w:rPr>
          <w:b/>
          <w:sz w:val="22"/>
          <w:szCs w:val="22"/>
          <w:lang w:val="en-US"/>
        </w:rPr>
        <w:t>Psychological Inquiry</w:t>
      </w:r>
      <w:r w:rsidRPr="009827F3">
        <w:rPr>
          <w:bCs/>
          <w:sz w:val="22"/>
          <w:szCs w:val="22"/>
          <w:lang w:val="en-US"/>
        </w:rPr>
        <w:t>, v. 26, n. 1, p. 1–26, 2015. DOI: https://doi.org/10.1080/1047840X.2014.940781</w:t>
      </w:r>
    </w:p>
    <w:p w14:paraId="5D91DA9C" w14:textId="77777777" w:rsidR="00C91EE1" w:rsidRPr="009827F3" w:rsidRDefault="00C91EE1" w:rsidP="002B6561">
      <w:pPr>
        <w:tabs>
          <w:tab w:val="left" w:pos="1260"/>
        </w:tabs>
        <w:spacing w:line="360" w:lineRule="auto"/>
        <w:jc w:val="both"/>
        <w:rPr>
          <w:bCs/>
          <w:sz w:val="22"/>
          <w:szCs w:val="22"/>
          <w:lang w:val="en-US"/>
        </w:rPr>
      </w:pPr>
      <w:r w:rsidRPr="009827F3">
        <w:rPr>
          <w:bCs/>
          <w:sz w:val="22"/>
          <w:szCs w:val="22"/>
          <w:lang w:val="en-US"/>
        </w:rPr>
        <w:t xml:space="preserve">HARDY, L.; JONES, G.; GOULD, D. </w:t>
      </w:r>
      <w:r w:rsidRPr="009827F3">
        <w:rPr>
          <w:b/>
          <w:sz w:val="22"/>
          <w:szCs w:val="22"/>
          <w:lang w:val="en-US"/>
        </w:rPr>
        <w:t xml:space="preserve">Understanding psychological preparation for sport: theory and practice of elite performers. </w:t>
      </w:r>
      <w:r w:rsidRPr="009827F3">
        <w:rPr>
          <w:bCs/>
          <w:sz w:val="22"/>
          <w:szCs w:val="22"/>
          <w:lang w:val="en-US"/>
        </w:rPr>
        <w:t>Chichester: John Wiley &amp; Sons, 2007.</w:t>
      </w:r>
    </w:p>
    <w:p w14:paraId="3F7C82A6" w14:textId="77777777" w:rsidR="00C91EE1" w:rsidRPr="00C91EE1" w:rsidRDefault="00C91EE1" w:rsidP="002B6561">
      <w:pPr>
        <w:tabs>
          <w:tab w:val="left" w:pos="1260"/>
        </w:tabs>
        <w:spacing w:line="360" w:lineRule="auto"/>
        <w:jc w:val="both"/>
        <w:rPr>
          <w:bCs/>
          <w:sz w:val="22"/>
          <w:szCs w:val="22"/>
        </w:rPr>
      </w:pPr>
      <w:r w:rsidRPr="009827F3">
        <w:rPr>
          <w:bCs/>
          <w:sz w:val="22"/>
          <w:szCs w:val="22"/>
          <w:lang w:val="en-US"/>
        </w:rPr>
        <w:t xml:space="preserve">HERSEY, P.; BLANCHARD, K. </w:t>
      </w:r>
      <w:r w:rsidRPr="009827F3">
        <w:rPr>
          <w:b/>
          <w:sz w:val="22"/>
          <w:szCs w:val="22"/>
          <w:lang w:val="en-US"/>
        </w:rPr>
        <w:t>Management of organizational behavior: utilizing human resources.</w:t>
      </w:r>
      <w:r w:rsidRPr="009827F3">
        <w:rPr>
          <w:bCs/>
          <w:sz w:val="22"/>
          <w:szCs w:val="22"/>
          <w:lang w:val="en-US"/>
        </w:rPr>
        <w:t xml:space="preserve"> </w:t>
      </w:r>
      <w:r w:rsidRPr="00C91EE1">
        <w:rPr>
          <w:bCs/>
          <w:sz w:val="22"/>
          <w:szCs w:val="22"/>
        </w:rPr>
        <w:t>Englewood Cliffs: Prentice-Hall, 1982.</w:t>
      </w:r>
    </w:p>
    <w:p w14:paraId="26AD0215" w14:textId="77777777" w:rsidR="00C91EE1" w:rsidRPr="009827F3" w:rsidRDefault="00C91EE1" w:rsidP="002B6561">
      <w:pPr>
        <w:tabs>
          <w:tab w:val="left" w:pos="1260"/>
        </w:tabs>
        <w:spacing w:line="360" w:lineRule="auto"/>
        <w:jc w:val="both"/>
        <w:rPr>
          <w:bCs/>
          <w:sz w:val="22"/>
          <w:szCs w:val="22"/>
          <w:lang w:val="en-US"/>
        </w:rPr>
      </w:pPr>
      <w:r w:rsidRPr="00C91EE1">
        <w:rPr>
          <w:bCs/>
          <w:sz w:val="22"/>
          <w:szCs w:val="22"/>
        </w:rPr>
        <w:t xml:space="preserve">HENRIKSEN, K. et al. Consensus statement on improving the mental health of high performance athletes. </w:t>
      </w:r>
      <w:r w:rsidRPr="009827F3">
        <w:rPr>
          <w:b/>
          <w:sz w:val="22"/>
          <w:szCs w:val="22"/>
          <w:lang w:val="en-US"/>
        </w:rPr>
        <w:t>International Journal of Sport and Exercise Psychology</w:t>
      </w:r>
      <w:r w:rsidRPr="009827F3">
        <w:rPr>
          <w:bCs/>
          <w:sz w:val="22"/>
          <w:szCs w:val="22"/>
          <w:lang w:val="en-US"/>
        </w:rPr>
        <w:t>, v. 18, n. 5, p. 553–560, 2020. DOI: https://doi.org/10.1080/1612197X.2019.1570473</w:t>
      </w:r>
    </w:p>
    <w:p w14:paraId="5635A90F" w14:textId="77777777" w:rsidR="00C91EE1" w:rsidRPr="009827F3" w:rsidRDefault="00C91EE1" w:rsidP="002B6561">
      <w:pPr>
        <w:tabs>
          <w:tab w:val="left" w:pos="1260"/>
        </w:tabs>
        <w:spacing w:line="360" w:lineRule="auto"/>
        <w:jc w:val="both"/>
        <w:rPr>
          <w:bCs/>
          <w:sz w:val="22"/>
          <w:szCs w:val="22"/>
          <w:lang w:val="en-US"/>
        </w:rPr>
      </w:pPr>
      <w:r w:rsidRPr="009827F3">
        <w:rPr>
          <w:bCs/>
          <w:sz w:val="22"/>
          <w:szCs w:val="22"/>
          <w:lang w:val="en-US"/>
        </w:rPr>
        <w:t xml:space="preserve">JOWETT, S. </w:t>
      </w:r>
      <w:r w:rsidRPr="009827F3">
        <w:rPr>
          <w:b/>
          <w:sz w:val="22"/>
          <w:szCs w:val="22"/>
          <w:lang w:val="en-US"/>
        </w:rPr>
        <w:t>Interdependence analysis and the 3+1Cs in the coach-athlete relationship</w:t>
      </w:r>
      <w:r w:rsidRPr="009827F3">
        <w:rPr>
          <w:bCs/>
          <w:sz w:val="22"/>
          <w:szCs w:val="22"/>
          <w:lang w:val="en-US"/>
        </w:rPr>
        <w:t>. In: JOWETT, S.; LAVALLEE, D. (ed.). Social psychology in sport. Champaign: Human Kinetics, 2007. p. 15–27.</w:t>
      </w:r>
    </w:p>
    <w:p w14:paraId="63A37E96" w14:textId="77777777" w:rsidR="00C91EE1" w:rsidRPr="009827F3" w:rsidRDefault="00C91EE1" w:rsidP="002B6561">
      <w:pPr>
        <w:tabs>
          <w:tab w:val="left" w:pos="1260"/>
        </w:tabs>
        <w:spacing w:line="360" w:lineRule="auto"/>
        <w:jc w:val="both"/>
        <w:rPr>
          <w:bCs/>
          <w:sz w:val="22"/>
          <w:szCs w:val="22"/>
          <w:lang w:val="en-US"/>
        </w:rPr>
      </w:pPr>
      <w:r w:rsidRPr="009827F3">
        <w:rPr>
          <w:bCs/>
          <w:sz w:val="22"/>
          <w:szCs w:val="22"/>
          <w:lang w:val="en-US"/>
        </w:rPr>
        <w:t xml:space="preserve">KIRSCHENBAUM, D. S. Self-regulation and sport psychology. </w:t>
      </w:r>
      <w:r w:rsidRPr="009827F3">
        <w:rPr>
          <w:b/>
          <w:sz w:val="22"/>
          <w:szCs w:val="22"/>
          <w:lang w:val="en-US"/>
        </w:rPr>
        <w:t>Journal of Sport Psychology,</w:t>
      </w:r>
      <w:r w:rsidRPr="009827F3">
        <w:rPr>
          <w:bCs/>
          <w:sz w:val="22"/>
          <w:szCs w:val="22"/>
          <w:lang w:val="en-US"/>
        </w:rPr>
        <w:t xml:space="preserve"> v. 6, n. 2, p. 159–183, 1984.</w:t>
      </w:r>
    </w:p>
    <w:p w14:paraId="123C2E0A" w14:textId="77777777" w:rsidR="00C91EE1" w:rsidRPr="00C91EE1" w:rsidRDefault="00C91EE1" w:rsidP="002B6561">
      <w:pPr>
        <w:tabs>
          <w:tab w:val="left" w:pos="1260"/>
        </w:tabs>
        <w:spacing w:line="360" w:lineRule="auto"/>
        <w:jc w:val="both"/>
        <w:rPr>
          <w:bCs/>
          <w:sz w:val="22"/>
          <w:szCs w:val="22"/>
        </w:rPr>
      </w:pPr>
      <w:r w:rsidRPr="009827F3">
        <w:rPr>
          <w:bCs/>
          <w:sz w:val="22"/>
          <w:szCs w:val="22"/>
          <w:lang w:val="en-US"/>
        </w:rPr>
        <w:t xml:space="preserve">KOLB, D. A. </w:t>
      </w:r>
      <w:r w:rsidRPr="009827F3">
        <w:rPr>
          <w:b/>
          <w:sz w:val="22"/>
          <w:szCs w:val="22"/>
          <w:lang w:val="en-US"/>
        </w:rPr>
        <w:t>Experiential learning: experience as the source of learning and development</w:t>
      </w:r>
      <w:r w:rsidRPr="009827F3">
        <w:rPr>
          <w:bCs/>
          <w:sz w:val="22"/>
          <w:szCs w:val="22"/>
          <w:lang w:val="en-US"/>
        </w:rPr>
        <w:t xml:space="preserve">. </w:t>
      </w:r>
      <w:r w:rsidRPr="00C91EE1">
        <w:rPr>
          <w:bCs/>
          <w:sz w:val="22"/>
          <w:szCs w:val="22"/>
        </w:rPr>
        <w:t>2. ed. Upper Saddle River: Pearson, 2015.</w:t>
      </w:r>
    </w:p>
    <w:p w14:paraId="29BEFE8A" w14:textId="77777777" w:rsidR="00C91EE1" w:rsidRPr="00C91EE1" w:rsidRDefault="00C91EE1" w:rsidP="002B6561">
      <w:pPr>
        <w:tabs>
          <w:tab w:val="left" w:pos="1260"/>
        </w:tabs>
        <w:spacing w:line="360" w:lineRule="auto"/>
        <w:jc w:val="both"/>
        <w:rPr>
          <w:bCs/>
          <w:sz w:val="22"/>
          <w:szCs w:val="22"/>
        </w:rPr>
      </w:pPr>
      <w:r w:rsidRPr="00C91EE1">
        <w:rPr>
          <w:bCs/>
          <w:sz w:val="22"/>
          <w:szCs w:val="22"/>
        </w:rPr>
        <w:t xml:space="preserve">LIGA NACIONAL DE BASQUETE. </w:t>
      </w:r>
      <w:r w:rsidRPr="00C91EE1">
        <w:rPr>
          <w:b/>
          <w:sz w:val="22"/>
          <w:szCs w:val="22"/>
        </w:rPr>
        <w:t>LNB e Caixa promovem série de palestras de educação financeira para atletas da LDB</w:t>
      </w:r>
      <w:r w:rsidRPr="00C91EE1">
        <w:rPr>
          <w:bCs/>
          <w:sz w:val="22"/>
          <w:szCs w:val="22"/>
        </w:rPr>
        <w:t>. 2025. Disponível em: https://lnb.com.br/noticias/lnb-e-caixa-promovem-serie-de-palestras-de-educacao-financeira-para-atletas-da-ldb/</w:t>
      </w:r>
    </w:p>
    <w:p w14:paraId="1F37C3DC" w14:textId="77777777" w:rsidR="00C91EE1" w:rsidRPr="00C91EE1" w:rsidRDefault="00C91EE1" w:rsidP="002B6561">
      <w:pPr>
        <w:tabs>
          <w:tab w:val="left" w:pos="1260"/>
        </w:tabs>
        <w:spacing w:line="360" w:lineRule="auto"/>
        <w:jc w:val="both"/>
        <w:rPr>
          <w:bCs/>
          <w:sz w:val="22"/>
          <w:szCs w:val="22"/>
        </w:rPr>
      </w:pPr>
      <w:r w:rsidRPr="009827F3">
        <w:rPr>
          <w:bCs/>
          <w:sz w:val="22"/>
          <w:szCs w:val="22"/>
          <w:lang w:val="en-US"/>
        </w:rPr>
        <w:t xml:space="preserve">LUNDQVIST, C. Well-being in competitive sports. </w:t>
      </w:r>
      <w:r w:rsidRPr="009827F3">
        <w:rPr>
          <w:b/>
          <w:sz w:val="22"/>
          <w:szCs w:val="22"/>
          <w:lang w:val="en-US"/>
        </w:rPr>
        <w:t>International Review of Sport and Exercise Psychology</w:t>
      </w:r>
      <w:r w:rsidRPr="009827F3">
        <w:rPr>
          <w:bCs/>
          <w:sz w:val="22"/>
          <w:szCs w:val="22"/>
          <w:lang w:val="en-US"/>
        </w:rPr>
        <w:t xml:space="preserve">, v. 4, n. 2, p. 109–127, 2011. </w:t>
      </w:r>
      <w:r w:rsidRPr="00C91EE1">
        <w:rPr>
          <w:bCs/>
          <w:sz w:val="22"/>
          <w:szCs w:val="22"/>
        </w:rPr>
        <w:t>DOI: https://doi.org/10.1080/1750984X.2011.584067</w:t>
      </w:r>
    </w:p>
    <w:p w14:paraId="39618C97" w14:textId="77777777" w:rsidR="00C91EE1" w:rsidRPr="009827F3" w:rsidRDefault="00C91EE1" w:rsidP="002B6561">
      <w:pPr>
        <w:tabs>
          <w:tab w:val="left" w:pos="1260"/>
        </w:tabs>
        <w:spacing w:line="360" w:lineRule="auto"/>
        <w:jc w:val="both"/>
        <w:rPr>
          <w:bCs/>
          <w:sz w:val="22"/>
          <w:szCs w:val="22"/>
          <w:lang w:val="en-US"/>
        </w:rPr>
      </w:pPr>
      <w:r w:rsidRPr="00C91EE1">
        <w:rPr>
          <w:bCs/>
          <w:sz w:val="22"/>
          <w:szCs w:val="22"/>
        </w:rPr>
        <w:t xml:space="preserve">MARQUES, M. P.; MARKUNAS, M. </w:t>
      </w:r>
      <w:r w:rsidRPr="00C91EE1">
        <w:rPr>
          <w:b/>
          <w:sz w:val="22"/>
          <w:szCs w:val="22"/>
        </w:rPr>
        <w:t>Treinamento de competências psicológicas</w:t>
      </w:r>
      <w:r w:rsidRPr="00C91EE1">
        <w:rPr>
          <w:bCs/>
          <w:sz w:val="22"/>
          <w:szCs w:val="22"/>
        </w:rPr>
        <w:t xml:space="preserve">. In: CONDE, E. et al. (org.). Psicologia do esporte e do exercício: modelos teóricos, pesquisa e intervenção. </w:t>
      </w:r>
      <w:r w:rsidRPr="009827F3">
        <w:rPr>
          <w:bCs/>
          <w:sz w:val="22"/>
          <w:szCs w:val="22"/>
          <w:lang w:val="en-US"/>
        </w:rPr>
        <w:t>Pasavento, 2019. p. 137–159.</w:t>
      </w:r>
    </w:p>
    <w:p w14:paraId="6E5B4323" w14:textId="77777777" w:rsidR="00C91EE1" w:rsidRPr="009827F3" w:rsidRDefault="00C91EE1" w:rsidP="002B6561">
      <w:pPr>
        <w:tabs>
          <w:tab w:val="left" w:pos="1260"/>
        </w:tabs>
        <w:spacing w:line="360" w:lineRule="auto"/>
        <w:jc w:val="both"/>
        <w:rPr>
          <w:bCs/>
          <w:sz w:val="22"/>
          <w:szCs w:val="22"/>
          <w:lang w:val="en-US"/>
        </w:rPr>
      </w:pPr>
      <w:r w:rsidRPr="009827F3">
        <w:rPr>
          <w:bCs/>
          <w:sz w:val="22"/>
          <w:szCs w:val="22"/>
          <w:lang w:val="en-US"/>
        </w:rPr>
        <w:t>MCEWAN, D.; BEAUCHAMP, M. R. Teamwork in sport</w:t>
      </w:r>
      <w:r w:rsidRPr="009827F3">
        <w:rPr>
          <w:b/>
          <w:sz w:val="22"/>
          <w:szCs w:val="22"/>
          <w:lang w:val="en-US"/>
        </w:rPr>
        <w:t>. International Review of Sport and Exercise Psychology,</w:t>
      </w:r>
      <w:r w:rsidRPr="009827F3">
        <w:rPr>
          <w:bCs/>
          <w:sz w:val="22"/>
          <w:szCs w:val="22"/>
          <w:lang w:val="en-US"/>
        </w:rPr>
        <w:t xml:space="preserve"> v. 7, n. 1, p. 229–250, 2014. DOI: https://doi.org/10.1080/1750984X.2014.932423</w:t>
      </w:r>
    </w:p>
    <w:p w14:paraId="3E2B7E17" w14:textId="77777777" w:rsidR="00C91EE1" w:rsidRPr="009827F3" w:rsidRDefault="00C91EE1" w:rsidP="002B6561">
      <w:pPr>
        <w:tabs>
          <w:tab w:val="left" w:pos="1260"/>
        </w:tabs>
        <w:spacing w:line="360" w:lineRule="auto"/>
        <w:jc w:val="both"/>
        <w:rPr>
          <w:bCs/>
          <w:sz w:val="22"/>
          <w:szCs w:val="22"/>
          <w:lang w:val="en-US"/>
        </w:rPr>
      </w:pPr>
      <w:r w:rsidRPr="009827F3">
        <w:rPr>
          <w:bCs/>
          <w:sz w:val="22"/>
          <w:szCs w:val="22"/>
          <w:lang w:val="en-US"/>
        </w:rPr>
        <w:t xml:space="preserve">MCEWEN, B. S. Physiology and neurobiology of stress and adaptation. </w:t>
      </w:r>
      <w:r w:rsidRPr="009827F3">
        <w:rPr>
          <w:b/>
          <w:sz w:val="22"/>
          <w:szCs w:val="22"/>
          <w:lang w:val="en-US"/>
        </w:rPr>
        <w:t>Physiological Reviews,</w:t>
      </w:r>
      <w:r w:rsidRPr="009827F3">
        <w:rPr>
          <w:bCs/>
          <w:sz w:val="22"/>
          <w:szCs w:val="22"/>
          <w:lang w:val="en-US"/>
        </w:rPr>
        <w:t xml:space="preserve"> v. 87, n. 3, p. 873–904, 2007. DOI: https://doi.org/10.1152/physrev.00041.2006</w:t>
      </w:r>
    </w:p>
    <w:p w14:paraId="2591133F" w14:textId="77777777" w:rsidR="00C91EE1" w:rsidRPr="00C91EE1" w:rsidRDefault="00C91EE1" w:rsidP="002B6561">
      <w:pPr>
        <w:tabs>
          <w:tab w:val="left" w:pos="1260"/>
        </w:tabs>
        <w:spacing w:line="360" w:lineRule="auto"/>
        <w:jc w:val="both"/>
        <w:rPr>
          <w:bCs/>
          <w:sz w:val="22"/>
          <w:szCs w:val="22"/>
        </w:rPr>
      </w:pPr>
      <w:r w:rsidRPr="009827F3">
        <w:rPr>
          <w:bCs/>
          <w:sz w:val="22"/>
          <w:szCs w:val="22"/>
          <w:lang w:val="en-US"/>
        </w:rPr>
        <w:t xml:space="preserve">MERRIAM, S. B.; BIEREMA, L. L. </w:t>
      </w:r>
      <w:r w:rsidRPr="009827F3">
        <w:rPr>
          <w:b/>
          <w:sz w:val="22"/>
          <w:szCs w:val="22"/>
          <w:lang w:val="en-US"/>
        </w:rPr>
        <w:t>Adult learning: linking theory and practice</w:t>
      </w:r>
      <w:r w:rsidRPr="009827F3">
        <w:rPr>
          <w:bCs/>
          <w:sz w:val="22"/>
          <w:szCs w:val="22"/>
          <w:lang w:val="en-US"/>
        </w:rPr>
        <w:t xml:space="preserve">. </w:t>
      </w:r>
      <w:r w:rsidRPr="00C91EE1">
        <w:rPr>
          <w:bCs/>
          <w:sz w:val="22"/>
          <w:szCs w:val="22"/>
        </w:rPr>
        <w:t>San Francisco: Jossey-Bass, 2014.</w:t>
      </w:r>
    </w:p>
    <w:p w14:paraId="499C1806" w14:textId="77777777" w:rsidR="00C91EE1" w:rsidRPr="009827F3" w:rsidRDefault="00C91EE1" w:rsidP="002B6561">
      <w:pPr>
        <w:tabs>
          <w:tab w:val="left" w:pos="1260"/>
        </w:tabs>
        <w:spacing w:line="360" w:lineRule="auto"/>
        <w:jc w:val="both"/>
        <w:rPr>
          <w:bCs/>
          <w:sz w:val="22"/>
          <w:szCs w:val="22"/>
          <w:lang w:val="en-US"/>
        </w:rPr>
      </w:pPr>
      <w:r w:rsidRPr="00C91EE1">
        <w:rPr>
          <w:bCs/>
          <w:sz w:val="22"/>
          <w:szCs w:val="22"/>
        </w:rPr>
        <w:t xml:space="preserve">NASCIMENTO JR., J. R. A. J. et al. Psychometric properties of the Coach-Athlete Relationship Questionnaire (CART-Q). </w:t>
      </w:r>
      <w:r w:rsidRPr="009827F3">
        <w:rPr>
          <w:b/>
          <w:sz w:val="22"/>
          <w:szCs w:val="22"/>
          <w:lang w:val="en-US"/>
        </w:rPr>
        <w:t>International Journal of Sports Science &amp; Coaching</w:t>
      </w:r>
      <w:r w:rsidRPr="009827F3">
        <w:rPr>
          <w:bCs/>
          <w:sz w:val="22"/>
          <w:szCs w:val="22"/>
          <w:lang w:val="en-US"/>
        </w:rPr>
        <w:t>, v. 19, n. 1, p. 5–18, 2024. DOI: https://doi.org/10.1177/17479541231194758</w:t>
      </w:r>
    </w:p>
    <w:p w14:paraId="04528A9B" w14:textId="77777777" w:rsidR="00C91EE1" w:rsidRPr="009827F3" w:rsidRDefault="00C91EE1" w:rsidP="002B6561">
      <w:pPr>
        <w:tabs>
          <w:tab w:val="left" w:pos="1260"/>
        </w:tabs>
        <w:spacing w:line="360" w:lineRule="auto"/>
        <w:jc w:val="both"/>
        <w:rPr>
          <w:bCs/>
          <w:sz w:val="22"/>
          <w:szCs w:val="22"/>
          <w:lang w:val="en-US"/>
        </w:rPr>
      </w:pPr>
      <w:r w:rsidRPr="009827F3">
        <w:rPr>
          <w:bCs/>
          <w:sz w:val="22"/>
          <w:szCs w:val="22"/>
          <w:lang w:val="en-US"/>
        </w:rPr>
        <w:t xml:space="preserve">NICHOLLS, A. R.; POLMAN, R. C. Coping in sport. </w:t>
      </w:r>
      <w:r w:rsidRPr="009827F3">
        <w:rPr>
          <w:b/>
          <w:sz w:val="22"/>
          <w:szCs w:val="22"/>
          <w:lang w:val="en-US"/>
        </w:rPr>
        <w:t>Journal of Sports Sciences,</w:t>
      </w:r>
      <w:r w:rsidRPr="009827F3">
        <w:rPr>
          <w:bCs/>
          <w:sz w:val="22"/>
          <w:szCs w:val="22"/>
          <w:lang w:val="en-US"/>
        </w:rPr>
        <w:t xml:space="preserve"> v. 25, n. 1, p. 11–31, 2007. DOI: https://doi.org/10.1080/02640410600630654</w:t>
      </w:r>
    </w:p>
    <w:p w14:paraId="6D9C096A" w14:textId="77777777" w:rsidR="00C91EE1" w:rsidRPr="009827F3" w:rsidRDefault="00C91EE1" w:rsidP="002B6561">
      <w:pPr>
        <w:tabs>
          <w:tab w:val="left" w:pos="1260"/>
        </w:tabs>
        <w:spacing w:line="360" w:lineRule="auto"/>
        <w:jc w:val="both"/>
        <w:rPr>
          <w:bCs/>
          <w:sz w:val="22"/>
          <w:szCs w:val="22"/>
          <w:lang w:val="en-US"/>
        </w:rPr>
      </w:pPr>
      <w:r w:rsidRPr="009827F3">
        <w:rPr>
          <w:bCs/>
          <w:sz w:val="22"/>
          <w:szCs w:val="22"/>
          <w:lang w:val="en-US"/>
        </w:rPr>
        <w:t xml:space="preserve">NIDEFFER, R. M. Test of attentional and interpersonal style. </w:t>
      </w:r>
      <w:r w:rsidRPr="009827F3">
        <w:rPr>
          <w:b/>
          <w:sz w:val="22"/>
          <w:szCs w:val="22"/>
          <w:lang w:val="en-US"/>
        </w:rPr>
        <w:t>Journal of Personality and Social Psychology</w:t>
      </w:r>
      <w:r w:rsidRPr="009827F3">
        <w:rPr>
          <w:bCs/>
          <w:sz w:val="22"/>
          <w:szCs w:val="22"/>
          <w:lang w:val="en-US"/>
        </w:rPr>
        <w:t>, v. 34, n. 3, p. 394–404, 1976. DOI: https://doi.org/10.1037/0022-3514.34.3.394</w:t>
      </w:r>
    </w:p>
    <w:p w14:paraId="16220EB0" w14:textId="77777777" w:rsidR="00C91EE1" w:rsidRPr="00C91EE1" w:rsidRDefault="00C91EE1" w:rsidP="002B6561">
      <w:pPr>
        <w:tabs>
          <w:tab w:val="left" w:pos="1260"/>
        </w:tabs>
        <w:spacing w:line="360" w:lineRule="auto"/>
        <w:jc w:val="both"/>
        <w:rPr>
          <w:bCs/>
          <w:sz w:val="22"/>
          <w:szCs w:val="22"/>
        </w:rPr>
      </w:pPr>
      <w:r w:rsidRPr="009827F3">
        <w:rPr>
          <w:bCs/>
          <w:sz w:val="22"/>
          <w:szCs w:val="22"/>
          <w:lang w:val="en-US"/>
        </w:rPr>
        <w:t xml:space="preserve">ORGANIZAÇÃO MUNDIAL DA SAÚDE. </w:t>
      </w:r>
      <w:r w:rsidRPr="009827F3">
        <w:rPr>
          <w:b/>
          <w:sz w:val="22"/>
          <w:szCs w:val="22"/>
          <w:lang w:val="en-US"/>
        </w:rPr>
        <w:t>World mental health report: transforming mental health for all.</w:t>
      </w:r>
      <w:r w:rsidRPr="009827F3">
        <w:rPr>
          <w:bCs/>
          <w:sz w:val="22"/>
          <w:szCs w:val="22"/>
          <w:lang w:val="en-US"/>
        </w:rPr>
        <w:t xml:space="preserve"> </w:t>
      </w:r>
      <w:r w:rsidRPr="00C91EE1">
        <w:rPr>
          <w:bCs/>
          <w:sz w:val="22"/>
          <w:szCs w:val="22"/>
        </w:rPr>
        <w:t>Geneva: WHO Press, 2022. Disponível em: https://www.who.int/publications/i/item/9789240049338</w:t>
      </w:r>
    </w:p>
    <w:p w14:paraId="339A2E0F" w14:textId="77777777" w:rsidR="00C91EE1" w:rsidRPr="009827F3" w:rsidRDefault="00C91EE1" w:rsidP="002B6561">
      <w:pPr>
        <w:tabs>
          <w:tab w:val="left" w:pos="1260"/>
        </w:tabs>
        <w:spacing w:line="360" w:lineRule="auto"/>
        <w:jc w:val="both"/>
        <w:rPr>
          <w:bCs/>
          <w:sz w:val="22"/>
          <w:szCs w:val="22"/>
          <w:lang w:val="en-US"/>
        </w:rPr>
      </w:pPr>
      <w:r w:rsidRPr="00C91EE1">
        <w:rPr>
          <w:bCs/>
          <w:sz w:val="22"/>
          <w:szCs w:val="22"/>
        </w:rPr>
        <w:t xml:space="preserve">REARDON, C. L. et al. Mental health in elite athletes. </w:t>
      </w:r>
      <w:r w:rsidRPr="009827F3">
        <w:rPr>
          <w:b/>
          <w:sz w:val="22"/>
          <w:szCs w:val="22"/>
          <w:lang w:val="en-US"/>
        </w:rPr>
        <w:t>British Journal of Sports Medicine</w:t>
      </w:r>
      <w:r w:rsidRPr="009827F3">
        <w:rPr>
          <w:bCs/>
          <w:sz w:val="22"/>
          <w:szCs w:val="22"/>
          <w:lang w:val="en-US"/>
        </w:rPr>
        <w:t>, v. 53, n. 11, p. 667–699, 2019. DOI: https://doi.org/10.1136/bjsports-2019-100715</w:t>
      </w:r>
    </w:p>
    <w:p w14:paraId="3CE5D129" w14:textId="77777777" w:rsidR="00C91EE1" w:rsidRPr="00C91EE1" w:rsidRDefault="00C91EE1" w:rsidP="002B6561">
      <w:pPr>
        <w:tabs>
          <w:tab w:val="left" w:pos="1260"/>
        </w:tabs>
        <w:spacing w:line="360" w:lineRule="auto"/>
        <w:jc w:val="both"/>
        <w:rPr>
          <w:bCs/>
          <w:sz w:val="22"/>
          <w:szCs w:val="22"/>
        </w:rPr>
      </w:pPr>
      <w:r w:rsidRPr="009827F3">
        <w:rPr>
          <w:bCs/>
          <w:sz w:val="22"/>
          <w:szCs w:val="22"/>
          <w:lang w:val="en-US"/>
        </w:rPr>
        <w:t>RICE, S. M. et al. The mental health of elite athletes</w:t>
      </w:r>
      <w:r w:rsidRPr="009827F3">
        <w:rPr>
          <w:b/>
          <w:sz w:val="22"/>
          <w:szCs w:val="22"/>
          <w:lang w:val="en-US"/>
        </w:rPr>
        <w:t>. Sports Medicine</w:t>
      </w:r>
      <w:r w:rsidRPr="009827F3">
        <w:rPr>
          <w:bCs/>
          <w:sz w:val="22"/>
          <w:szCs w:val="22"/>
          <w:lang w:val="en-US"/>
        </w:rPr>
        <w:t xml:space="preserve">, v. 46, n. 9, p. 1333–1353, 2016. </w:t>
      </w:r>
      <w:r w:rsidRPr="00C91EE1">
        <w:rPr>
          <w:bCs/>
          <w:sz w:val="22"/>
          <w:szCs w:val="22"/>
        </w:rPr>
        <w:t>DOI: https://doi.org/10.1007/s40279-016-0492-2</w:t>
      </w:r>
    </w:p>
    <w:p w14:paraId="5795F852" w14:textId="77777777" w:rsidR="00C91EE1" w:rsidRPr="00C91EE1" w:rsidRDefault="00C91EE1" w:rsidP="002B6561">
      <w:pPr>
        <w:tabs>
          <w:tab w:val="left" w:pos="1260"/>
        </w:tabs>
        <w:spacing w:line="360" w:lineRule="auto"/>
        <w:jc w:val="both"/>
        <w:rPr>
          <w:bCs/>
          <w:sz w:val="22"/>
          <w:szCs w:val="22"/>
        </w:rPr>
      </w:pPr>
      <w:r w:rsidRPr="00C91EE1">
        <w:rPr>
          <w:bCs/>
          <w:sz w:val="22"/>
          <w:szCs w:val="22"/>
        </w:rPr>
        <w:t xml:space="preserve">RUBIO, K. (org.). </w:t>
      </w:r>
      <w:r w:rsidRPr="00C91EE1">
        <w:rPr>
          <w:b/>
          <w:sz w:val="22"/>
          <w:szCs w:val="22"/>
        </w:rPr>
        <w:t>Destreinamento e transição de carreira no esporte</w:t>
      </w:r>
      <w:r w:rsidRPr="00C91EE1">
        <w:rPr>
          <w:bCs/>
          <w:sz w:val="22"/>
          <w:szCs w:val="22"/>
        </w:rPr>
        <w:t>. 2. ed. São Paulo: Editora Tato, 2025.</w:t>
      </w:r>
    </w:p>
    <w:p w14:paraId="2F64473E" w14:textId="77777777" w:rsidR="00C91EE1" w:rsidRPr="009827F3" w:rsidRDefault="00C91EE1" w:rsidP="002B6561">
      <w:pPr>
        <w:tabs>
          <w:tab w:val="left" w:pos="1260"/>
        </w:tabs>
        <w:spacing w:line="360" w:lineRule="auto"/>
        <w:jc w:val="both"/>
        <w:rPr>
          <w:bCs/>
          <w:sz w:val="22"/>
          <w:szCs w:val="22"/>
          <w:lang w:val="en-US"/>
        </w:rPr>
      </w:pPr>
      <w:r w:rsidRPr="00C91EE1">
        <w:rPr>
          <w:bCs/>
          <w:sz w:val="22"/>
          <w:szCs w:val="22"/>
        </w:rPr>
        <w:t xml:space="preserve">RUBIO, K.; MELO, G. F. </w:t>
      </w:r>
      <w:r w:rsidRPr="00C91EE1">
        <w:rPr>
          <w:b/>
          <w:sz w:val="22"/>
          <w:szCs w:val="22"/>
        </w:rPr>
        <w:t>Além da personalidade</w:t>
      </w:r>
      <w:r w:rsidRPr="00C91EE1">
        <w:rPr>
          <w:bCs/>
          <w:sz w:val="22"/>
          <w:szCs w:val="22"/>
        </w:rPr>
        <w:t xml:space="preserve">. In: RUBIO, K.; CAMILO, J. A. O. (org.). Psicologia social do esporte. </w:t>
      </w:r>
      <w:r w:rsidRPr="009827F3">
        <w:rPr>
          <w:bCs/>
          <w:sz w:val="22"/>
          <w:szCs w:val="22"/>
          <w:lang w:val="en-US"/>
        </w:rPr>
        <w:t>São Paulo: Laços, 2019. p. 19–36.</w:t>
      </w:r>
    </w:p>
    <w:p w14:paraId="350DED1E" w14:textId="77777777" w:rsidR="00C91EE1" w:rsidRPr="009827F3" w:rsidRDefault="00C91EE1" w:rsidP="002B6561">
      <w:pPr>
        <w:tabs>
          <w:tab w:val="left" w:pos="1260"/>
        </w:tabs>
        <w:spacing w:line="360" w:lineRule="auto"/>
        <w:jc w:val="both"/>
        <w:rPr>
          <w:bCs/>
          <w:sz w:val="22"/>
          <w:szCs w:val="22"/>
          <w:lang w:val="en-US"/>
        </w:rPr>
      </w:pPr>
      <w:r w:rsidRPr="009827F3">
        <w:rPr>
          <w:bCs/>
          <w:sz w:val="22"/>
          <w:szCs w:val="22"/>
          <w:lang w:val="en-US"/>
        </w:rPr>
        <w:t xml:space="preserve">RUIZ, M. C.; RAGLIN, J. S.; HANIN, Y. L. The Individual Zones of Optimal Functioning (IZOF) model. </w:t>
      </w:r>
      <w:r w:rsidRPr="009827F3">
        <w:rPr>
          <w:b/>
          <w:sz w:val="22"/>
          <w:szCs w:val="22"/>
          <w:lang w:val="en-US"/>
        </w:rPr>
        <w:t>International Journal of Sport and Exercise Psychology</w:t>
      </w:r>
      <w:r w:rsidRPr="009827F3">
        <w:rPr>
          <w:bCs/>
          <w:sz w:val="22"/>
          <w:szCs w:val="22"/>
          <w:lang w:val="en-US"/>
        </w:rPr>
        <w:t>, 2015. DOI: http://dx.doi.org/10.1080/1612197X.2015.1041545</w:t>
      </w:r>
    </w:p>
    <w:p w14:paraId="724E5856" w14:textId="77777777" w:rsidR="00C91EE1" w:rsidRPr="009827F3" w:rsidRDefault="00C91EE1" w:rsidP="002B6561">
      <w:pPr>
        <w:tabs>
          <w:tab w:val="left" w:pos="1260"/>
        </w:tabs>
        <w:spacing w:line="360" w:lineRule="auto"/>
        <w:jc w:val="both"/>
        <w:rPr>
          <w:bCs/>
          <w:sz w:val="22"/>
          <w:szCs w:val="22"/>
          <w:lang w:val="en-US"/>
        </w:rPr>
      </w:pPr>
      <w:r w:rsidRPr="009827F3">
        <w:rPr>
          <w:bCs/>
          <w:sz w:val="22"/>
          <w:szCs w:val="22"/>
          <w:lang w:val="en-US"/>
        </w:rPr>
        <w:t xml:space="preserve">RYAN, R. M.; DECI, E. L. Brick by brick. In: ELLIOT, A. J. (ed.). Advances in motivation science. </w:t>
      </w:r>
      <w:r w:rsidRPr="009827F3">
        <w:rPr>
          <w:b/>
          <w:sz w:val="22"/>
          <w:szCs w:val="22"/>
          <w:lang w:val="en-US"/>
        </w:rPr>
        <w:t>Elsevier,</w:t>
      </w:r>
      <w:r w:rsidRPr="009827F3">
        <w:rPr>
          <w:bCs/>
          <w:sz w:val="22"/>
          <w:szCs w:val="22"/>
          <w:lang w:val="en-US"/>
        </w:rPr>
        <w:t xml:space="preserve"> 2019. p. 111–156.</w:t>
      </w:r>
    </w:p>
    <w:p w14:paraId="429FBD2C" w14:textId="77777777" w:rsidR="00C91EE1" w:rsidRPr="00C91EE1" w:rsidRDefault="00C91EE1" w:rsidP="002B6561">
      <w:pPr>
        <w:tabs>
          <w:tab w:val="left" w:pos="1260"/>
        </w:tabs>
        <w:spacing w:line="360" w:lineRule="auto"/>
        <w:jc w:val="both"/>
        <w:rPr>
          <w:bCs/>
          <w:sz w:val="22"/>
          <w:szCs w:val="22"/>
        </w:rPr>
      </w:pPr>
      <w:r w:rsidRPr="009827F3">
        <w:rPr>
          <w:bCs/>
          <w:sz w:val="22"/>
          <w:szCs w:val="22"/>
          <w:lang w:val="en-US"/>
        </w:rPr>
        <w:t xml:space="preserve">RYBA, T. V.; STAMBULOVA, N. B. </w:t>
      </w:r>
      <w:r w:rsidRPr="009827F3">
        <w:rPr>
          <w:b/>
          <w:sz w:val="22"/>
          <w:szCs w:val="22"/>
          <w:lang w:val="en-US"/>
        </w:rPr>
        <w:t>Athletes’ careers across cultures.</w:t>
      </w:r>
      <w:r w:rsidRPr="009827F3">
        <w:rPr>
          <w:bCs/>
          <w:sz w:val="22"/>
          <w:szCs w:val="22"/>
          <w:lang w:val="en-US"/>
        </w:rPr>
        <w:t xml:space="preserve"> In: STAMBULOVA, N.; RYBA, T. (ed.). Athletes’ careers across cultures. </w:t>
      </w:r>
      <w:r w:rsidRPr="00C91EE1">
        <w:rPr>
          <w:bCs/>
          <w:sz w:val="22"/>
          <w:szCs w:val="22"/>
        </w:rPr>
        <w:t>London: Routledge, 2013. p. 1–16.</w:t>
      </w:r>
    </w:p>
    <w:p w14:paraId="05292A6A" w14:textId="77777777" w:rsidR="00C91EE1" w:rsidRPr="00C91EE1" w:rsidRDefault="00C91EE1" w:rsidP="002B6561">
      <w:pPr>
        <w:tabs>
          <w:tab w:val="left" w:pos="1260"/>
        </w:tabs>
        <w:spacing w:line="360" w:lineRule="auto"/>
        <w:jc w:val="both"/>
        <w:rPr>
          <w:bCs/>
          <w:sz w:val="22"/>
          <w:szCs w:val="22"/>
        </w:rPr>
      </w:pPr>
      <w:r w:rsidRPr="00C91EE1">
        <w:rPr>
          <w:bCs/>
          <w:sz w:val="22"/>
          <w:szCs w:val="22"/>
        </w:rPr>
        <w:t xml:space="preserve">SAMULSKI, D. M. </w:t>
      </w:r>
      <w:r w:rsidRPr="00C91EE1">
        <w:rPr>
          <w:b/>
          <w:sz w:val="22"/>
          <w:szCs w:val="22"/>
        </w:rPr>
        <w:t>Psicologia do esporte: conceitos e novas perspectivas.</w:t>
      </w:r>
      <w:r w:rsidRPr="00C91EE1">
        <w:rPr>
          <w:bCs/>
          <w:sz w:val="22"/>
          <w:szCs w:val="22"/>
        </w:rPr>
        <w:t xml:space="preserve"> Porto Alegre: Artmed, 2009.</w:t>
      </w:r>
    </w:p>
    <w:p w14:paraId="174CC76D" w14:textId="77777777" w:rsidR="00C91EE1" w:rsidRPr="009827F3" w:rsidRDefault="00C91EE1" w:rsidP="002B6561">
      <w:pPr>
        <w:tabs>
          <w:tab w:val="left" w:pos="1260"/>
        </w:tabs>
        <w:spacing w:line="360" w:lineRule="auto"/>
        <w:jc w:val="both"/>
        <w:rPr>
          <w:bCs/>
          <w:sz w:val="22"/>
          <w:szCs w:val="22"/>
          <w:lang w:val="en-US"/>
        </w:rPr>
      </w:pPr>
      <w:r w:rsidRPr="00C91EE1">
        <w:rPr>
          <w:bCs/>
          <w:sz w:val="22"/>
          <w:szCs w:val="22"/>
        </w:rPr>
        <w:t xml:space="preserve">SCHINKE, R. J. et al. Athletes’ mental health, performance, and development. </w:t>
      </w:r>
      <w:r w:rsidRPr="009827F3">
        <w:rPr>
          <w:b/>
          <w:sz w:val="22"/>
          <w:szCs w:val="22"/>
          <w:lang w:val="en-US"/>
        </w:rPr>
        <w:t>International Journal of Sport and Exercise Psychology,</w:t>
      </w:r>
      <w:r w:rsidRPr="009827F3">
        <w:rPr>
          <w:bCs/>
          <w:sz w:val="22"/>
          <w:szCs w:val="22"/>
          <w:lang w:val="en-US"/>
        </w:rPr>
        <w:t xml:space="preserve"> v. 16, n. 6, p. 622–639, 2017. DOI: https://doi.org/10.1080/1612197X.2017.1295557</w:t>
      </w:r>
    </w:p>
    <w:p w14:paraId="778B6CCC" w14:textId="77777777" w:rsidR="00C91EE1" w:rsidRPr="009827F3" w:rsidRDefault="00C91EE1" w:rsidP="002B6561">
      <w:pPr>
        <w:tabs>
          <w:tab w:val="left" w:pos="1260"/>
        </w:tabs>
        <w:spacing w:line="360" w:lineRule="auto"/>
        <w:jc w:val="both"/>
        <w:rPr>
          <w:bCs/>
          <w:sz w:val="22"/>
          <w:szCs w:val="22"/>
          <w:lang w:val="en-US"/>
        </w:rPr>
      </w:pPr>
      <w:r w:rsidRPr="009827F3">
        <w:rPr>
          <w:bCs/>
          <w:sz w:val="22"/>
          <w:szCs w:val="22"/>
          <w:lang w:val="en-US"/>
        </w:rPr>
        <w:t xml:space="preserve">TAJFEL, H. </w:t>
      </w:r>
      <w:r w:rsidRPr="009827F3">
        <w:rPr>
          <w:b/>
          <w:sz w:val="22"/>
          <w:szCs w:val="22"/>
          <w:lang w:val="en-US"/>
        </w:rPr>
        <w:t xml:space="preserve">Social categorization, social identity and social comparison. </w:t>
      </w:r>
      <w:r w:rsidRPr="009827F3">
        <w:rPr>
          <w:bCs/>
          <w:sz w:val="22"/>
          <w:szCs w:val="22"/>
          <w:lang w:val="en-US"/>
        </w:rPr>
        <w:t>In: TAJFEL, H. (ed.). Differentiation between social groups. London: Academic Press, 1978. p. 61–76.</w:t>
      </w:r>
    </w:p>
    <w:p w14:paraId="3AD9C3E6" w14:textId="77777777" w:rsidR="00C91EE1" w:rsidRPr="00C91EE1" w:rsidRDefault="00C91EE1" w:rsidP="002B6561">
      <w:pPr>
        <w:tabs>
          <w:tab w:val="left" w:pos="1260"/>
        </w:tabs>
        <w:spacing w:line="360" w:lineRule="auto"/>
        <w:jc w:val="both"/>
        <w:rPr>
          <w:bCs/>
          <w:sz w:val="22"/>
          <w:szCs w:val="22"/>
        </w:rPr>
      </w:pPr>
      <w:r w:rsidRPr="009827F3">
        <w:rPr>
          <w:bCs/>
          <w:sz w:val="22"/>
          <w:szCs w:val="22"/>
          <w:lang w:val="en-US"/>
        </w:rPr>
        <w:t xml:space="preserve">VEALEY, R. S.; CHASE, M. A. </w:t>
      </w:r>
      <w:r w:rsidRPr="009827F3">
        <w:rPr>
          <w:b/>
          <w:sz w:val="22"/>
          <w:szCs w:val="22"/>
          <w:lang w:val="en-US"/>
        </w:rPr>
        <w:t>Self-confidence in sport.</w:t>
      </w:r>
      <w:r w:rsidRPr="009827F3">
        <w:rPr>
          <w:bCs/>
          <w:sz w:val="22"/>
          <w:szCs w:val="22"/>
          <w:lang w:val="en-US"/>
        </w:rPr>
        <w:t xml:space="preserve"> In: HORN, T. S. (ed.). </w:t>
      </w:r>
      <w:r w:rsidRPr="00C91EE1">
        <w:rPr>
          <w:bCs/>
          <w:sz w:val="22"/>
          <w:szCs w:val="22"/>
        </w:rPr>
        <w:t>Advances in sport psychology. 3. ed. Champaign: Human Kinetics, 2008.</w:t>
      </w:r>
    </w:p>
    <w:p w14:paraId="4F3D16B6" w14:textId="77777777" w:rsidR="00C91EE1" w:rsidRPr="00C91EE1" w:rsidRDefault="00C91EE1" w:rsidP="002B6561">
      <w:pPr>
        <w:tabs>
          <w:tab w:val="left" w:pos="1260"/>
        </w:tabs>
        <w:spacing w:line="360" w:lineRule="auto"/>
        <w:jc w:val="both"/>
        <w:rPr>
          <w:bCs/>
          <w:sz w:val="22"/>
          <w:szCs w:val="22"/>
        </w:rPr>
      </w:pPr>
      <w:r w:rsidRPr="009827F3">
        <w:rPr>
          <w:bCs/>
          <w:sz w:val="22"/>
          <w:szCs w:val="22"/>
          <w:lang w:val="en-US"/>
        </w:rPr>
        <w:t xml:space="preserve">VEALEY, R. S.; CHASE, M. A. </w:t>
      </w:r>
      <w:r w:rsidRPr="009827F3">
        <w:rPr>
          <w:b/>
          <w:sz w:val="22"/>
          <w:szCs w:val="22"/>
          <w:lang w:val="en-US"/>
        </w:rPr>
        <w:t>Best practice for youth sport</w:t>
      </w:r>
      <w:r w:rsidRPr="009827F3">
        <w:rPr>
          <w:bCs/>
          <w:sz w:val="22"/>
          <w:szCs w:val="22"/>
          <w:lang w:val="en-US"/>
        </w:rPr>
        <w:t xml:space="preserve">. </w:t>
      </w:r>
      <w:r w:rsidRPr="00C91EE1">
        <w:rPr>
          <w:bCs/>
          <w:sz w:val="22"/>
          <w:szCs w:val="22"/>
        </w:rPr>
        <w:t>Champaign: Human Kinetics, 2016.</w:t>
      </w:r>
    </w:p>
    <w:p w14:paraId="759D1AE2" w14:textId="77777777" w:rsidR="00C91EE1" w:rsidRPr="00C91EE1" w:rsidRDefault="00C91EE1" w:rsidP="002B6561">
      <w:pPr>
        <w:tabs>
          <w:tab w:val="left" w:pos="1260"/>
        </w:tabs>
        <w:spacing w:line="360" w:lineRule="auto"/>
        <w:jc w:val="both"/>
        <w:rPr>
          <w:bCs/>
          <w:sz w:val="22"/>
          <w:szCs w:val="22"/>
        </w:rPr>
      </w:pPr>
      <w:r w:rsidRPr="00C91EE1">
        <w:rPr>
          <w:bCs/>
          <w:sz w:val="22"/>
          <w:szCs w:val="22"/>
        </w:rPr>
        <w:t>WEINBERG, R.; GOULD, D</w:t>
      </w:r>
      <w:r w:rsidRPr="00C91EE1">
        <w:rPr>
          <w:b/>
          <w:sz w:val="22"/>
          <w:szCs w:val="22"/>
        </w:rPr>
        <w:t>. Fundamentos da psicologia do esporte e do exercício</w:t>
      </w:r>
      <w:r w:rsidRPr="00C91EE1">
        <w:rPr>
          <w:bCs/>
          <w:sz w:val="22"/>
          <w:szCs w:val="22"/>
        </w:rPr>
        <w:t>. 6. ed. Porto Alegre: Artmed, 2017.</w:t>
      </w:r>
    </w:p>
    <w:p w14:paraId="271D36FB" w14:textId="77777777" w:rsidR="00C91EE1" w:rsidRPr="009827F3" w:rsidRDefault="00C91EE1" w:rsidP="002B6561">
      <w:pPr>
        <w:tabs>
          <w:tab w:val="left" w:pos="1260"/>
        </w:tabs>
        <w:spacing w:line="360" w:lineRule="auto"/>
        <w:jc w:val="both"/>
        <w:rPr>
          <w:bCs/>
          <w:sz w:val="22"/>
          <w:szCs w:val="22"/>
          <w:lang w:val="en-US"/>
        </w:rPr>
      </w:pPr>
      <w:r w:rsidRPr="00C91EE1">
        <w:rPr>
          <w:bCs/>
          <w:sz w:val="22"/>
          <w:szCs w:val="22"/>
        </w:rPr>
        <w:t xml:space="preserve">WOLFF, A. A. </w:t>
      </w:r>
      <w:r w:rsidRPr="00C91EE1">
        <w:rPr>
          <w:b/>
          <w:sz w:val="22"/>
          <w:szCs w:val="22"/>
        </w:rPr>
        <w:t>Pensamento campeão: melhorando o desempenho esportivo por meio da preparação mental</w:t>
      </w:r>
      <w:r w:rsidRPr="00C91EE1">
        <w:rPr>
          <w:bCs/>
          <w:sz w:val="22"/>
          <w:szCs w:val="22"/>
        </w:rPr>
        <w:t xml:space="preserve">. </w:t>
      </w:r>
      <w:r w:rsidRPr="009827F3">
        <w:rPr>
          <w:bCs/>
          <w:sz w:val="22"/>
          <w:szCs w:val="22"/>
          <w:lang w:val="en-US"/>
        </w:rPr>
        <w:t>Editora Cognitiva, 2015.</w:t>
      </w:r>
    </w:p>
    <w:p w14:paraId="26D2FDCC" w14:textId="77777777" w:rsidR="00C91EE1" w:rsidRPr="009827F3" w:rsidRDefault="00C91EE1" w:rsidP="002B6561">
      <w:pPr>
        <w:tabs>
          <w:tab w:val="left" w:pos="1260"/>
        </w:tabs>
        <w:spacing w:line="360" w:lineRule="auto"/>
        <w:jc w:val="both"/>
        <w:rPr>
          <w:bCs/>
          <w:sz w:val="22"/>
          <w:szCs w:val="22"/>
          <w:lang w:val="en-US"/>
        </w:rPr>
      </w:pPr>
      <w:r w:rsidRPr="009827F3">
        <w:rPr>
          <w:bCs/>
          <w:sz w:val="22"/>
          <w:szCs w:val="22"/>
          <w:lang w:val="en-US"/>
        </w:rPr>
        <w:t xml:space="preserve">WYLLEMAN, P.; REINTS, A. A lifespan perspective on athletes’ careers. </w:t>
      </w:r>
      <w:r w:rsidRPr="009827F3">
        <w:rPr>
          <w:b/>
          <w:sz w:val="22"/>
          <w:szCs w:val="22"/>
          <w:lang w:val="en-US"/>
        </w:rPr>
        <w:t>Scandinavian Journal of Medicine &amp; Science in Sports</w:t>
      </w:r>
      <w:r w:rsidRPr="009827F3">
        <w:rPr>
          <w:bCs/>
          <w:sz w:val="22"/>
          <w:szCs w:val="22"/>
          <w:lang w:val="en-US"/>
        </w:rPr>
        <w:t>, v. 20, supl. 2, p. 88–94, 2010. DOI: https://doi.org/10.1111/j.1600-0838.2010.01194.x</w:t>
      </w:r>
    </w:p>
    <w:p w14:paraId="075F40F2" w14:textId="77777777" w:rsidR="003926F6" w:rsidRPr="009827F3" w:rsidRDefault="00C91EE1" w:rsidP="002B6561">
      <w:pPr>
        <w:tabs>
          <w:tab w:val="left" w:pos="1260"/>
        </w:tabs>
        <w:spacing w:line="360" w:lineRule="auto"/>
        <w:jc w:val="both"/>
        <w:rPr>
          <w:bCs/>
          <w:sz w:val="22"/>
          <w:szCs w:val="22"/>
          <w:lang w:val="en-US"/>
        </w:rPr>
      </w:pPr>
      <w:r w:rsidRPr="009827F3">
        <w:rPr>
          <w:bCs/>
          <w:sz w:val="22"/>
          <w:szCs w:val="22"/>
          <w:lang w:val="en-US"/>
        </w:rPr>
        <w:t xml:space="preserve">ZIMMERMAN, B. J. </w:t>
      </w:r>
      <w:r w:rsidRPr="009827F3">
        <w:rPr>
          <w:b/>
          <w:sz w:val="22"/>
          <w:szCs w:val="22"/>
          <w:lang w:val="en-US"/>
        </w:rPr>
        <w:t>Attaining self-regulation</w:t>
      </w:r>
      <w:r w:rsidRPr="009827F3">
        <w:rPr>
          <w:bCs/>
          <w:sz w:val="22"/>
          <w:szCs w:val="22"/>
          <w:lang w:val="en-US"/>
        </w:rPr>
        <w:t xml:space="preserve">. In: BOEKAERTS, M.; PINTRICH, P. R.; ZEIDNER, M. (ed.). </w:t>
      </w:r>
      <w:r w:rsidRPr="009827F3">
        <w:rPr>
          <w:b/>
          <w:sz w:val="22"/>
          <w:szCs w:val="22"/>
          <w:lang w:val="en-US"/>
        </w:rPr>
        <w:t>Handbook of self-regulation.</w:t>
      </w:r>
      <w:r w:rsidRPr="009827F3">
        <w:rPr>
          <w:bCs/>
          <w:sz w:val="22"/>
          <w:szCs w:val="22"/>
          <w:lang w:val="en-US"/>
        </w:rPr>
        <w:t xml:space="preserve"> San Diego: Academic Press, 2000. p. 13–40. DOI: https://doi.org/10.1016/b978-012109890-2/50031-7</w:t>
      </w:r>
    </w:p>
    <w:sectPr w:rsidR="003926F6" w:rsidRPr="009827F3" w:rsidSect="00A6414A">
      <w:headerReference w:type="even" r:id="rId9"/>
      <w:headerReference w:type="default" r:id="rId10"/>
      <w:footerReference w:type="even" r:id="rId11"/>
      <w:footerReference w:type="default" r:id="rId12"/>
      <w:pgSz w:w="11905" w:h="16837"/>
      <w:pgMar w:top="1417" w:right="1701" w:bottom="1417" w:left="1701"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83E3696" w14:textId="77777777" w:rsidR="00C56D40" w:rsidRDefault="00C56D40">
      <w:r>
        <w:separator/>
      </w:r>
    </w:p>
  </w:endnote>
  <w:endnote w:type="continuationSeparator" w:id="0">
    <w:p w14:paraId="28B591AE" w14:textId="77777777" w:rsidR="00C56D40" w:rsidRDefault="00C56D4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incho">
    <w:altName w:val="明朝"/>
    <w:panose1 w:val="02020609040305080305"/>
    <w:charset w:val="80"/>
    <w:family w:val="roman"/>
    <w:notTrueType/>
    <w:pitch w:val="fixed"/>
    <w:sig w:usb0="00000001" w:usb1="08070000" w:usb2="00000010" w:usb3="00000000" w:csb0="00020000" w:csb1="00000000"/>
  </w:font>
  <w:font w:name="Aptos">
    <w:altName w:val="Arial"/>
    <w:charset w:val="00"/>
    <w:family w:val="swiss"/>
    <w:pitch w:val="variable"/>
    <w:sig w:usb0="00000001"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7693F67" w14:textId="77777777" w:rsidR="002A3F49" w:rsidRPr="006517C8" w:rsidRDefault="002A3F49">
    <w:pPr>
      <w:pStyle w:val="Rodap"/>
      <w:rPr>
        <w:rFonts w:cs="Times New Roman"/>
        <w:color w:val="000000"/>
        <w:sz w:val="18"/>
      </w:rPr>
    </w:pPr>
    <w:r w:rsidRPr="006517C8">
      <w:rPr>
        <w:rStyle w:val="Nmerodepgina"/>
        <w:rFonts w:cs="Times New Roman"/>
        <w:sz w:val="18"/>
      </w:rPr>
      <w:fldChar w:fldCharType="begin"/>
    </w:r>
    <w:r w:rsidRPr="006517C8">
      <w:rPr>
        <w:rStyle w:val="Nmerodepgina"/>
        <w:rFonts w:cs="Times New Roman"/>
        <w:sz w:val="18"/>
      </w:rPr>
      <w:instrText xml:space="preserve"> PAGE </w:instrText>
    </w:r>
    <w:r w:rsidRPr="006517C8">
      <w:rPr>
        <w:rStyle w:val="Nmerodepgina"/>
        <w:rFonts w:cs="Times New Roman"/>
        <w:sz w:val="18"/>
      </w:rPr>
      <w:fldChar w:fldCharType="separate"/>
    </w:r>
    <w:r w:rsidR="00E3750E">
      <w:rPr>
        <w:rStyle w:val="Nmerodepgina"/>
        <w:rFonts w:cs="Times New Roman"/>
        <w:noProof/>
        <w:sz w:val="18"/>
      </w:rPr>
      <w:t>2</w:t>
    </w:r>
    <w:r w:rsidRPr="006517C8">
      <w:rPr>
        <w:rStyle w:val="Nmerodepgina"/>
        <w:rFonts w:cs="Times New Roman"/>
        <w:sz w:val="18"/>
      </w:rPr>
      <w:fldChar w:fldCharType="end"/>
    </w:r>
    <w:r w:rsidRPr="006517C8">
      <w:rPr>
        <w:rStyle w:val="Nmerodepgina"/>
        <w:rFonts w:cs="Times New Roman"/>
        <w:sz w:val="18"/>
      </w:rPr>
      <w:tab/>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2E4B1C4" w14:textId="77777777" w:rsidR="002A3F49" w:rsidRPr="006517C8" w:rsidRDefault="002A3F49">
    <w:pPr>
      <w:pStyle w:val="Rodap"/>
      <w:jc w:val="right"/>
      <w:rPr>
        <w:rFonts w:cs="Times New Roman"/>
      </w:rPr>
    </w:pPr>
    <w:r w:rsidRPr="006517C8">
      <w:rPr>
        <w:rFonts w:cs="Times New Roman"/>
        <w:color w:val="000000"/>
        <w:sz w:val="18"/>
      </w:rPr>
      <w:t xml:space="preserve">             </w:t>
    </w:r>
    <w:r w:rsidRPr="006517C8">
      <w:rPr>
        <w:rStyle w:val="Nmerodepgina"/>
        <w:rFonts w:cs="Times New Roman"/>
        <w:sz w:val="18"/>
      </w:rPr>
      <w:fldChar w:fldCharType="begin"/>
    </w:r>
    <w:r w:rsidRPr="006517C8">
      <w:rPr>
        <w:rStyle w:val="Nmerodepgina"/>
        <w:rFonts w:cs="Times New Roman"/>
        <w:sz w:val="18"/>
      </w:rPr>
      <w:instrText xml:space="preserve"> PAGE </w:instrText>
    </w:r>
    <w:r w:rsidRPr="006517C8">
      <w:rPr>
        <w:rStyle w:val="Nmerodepgina"/>
        <w:rFonts w:cs="Times New Roman"/>
        <w:sz w:val="18"/>
      </w:rPr>
      <w:fldChar w:fldCharType="separate"/>
    </w:r>
    <w:r w:rsidR="00E3750E">
      <w:rPr>
        <w:rStyle w:val="Nmerodepgina"/>
        <w:rFonts w:cs="Times New Roman"/>
        <w:noProof/>
        <w:sz w:val="18"/>
      </w:rPr>
      <w:t>15</w:t>
    </w:r>
    <w:r w:rsidRPr="006517C8">
      <w:rPr>
        <w:rStyle w:val="Nmerodepgina"/>
        <w:rFonts w:cs="Times New Roman"/>
        <w:sz w:val="18"/>
      </w:rPr>
      <w:fldChar w:fldCharType="end"/>
    </w:r>
  </w:p>
  <w:p w14:paraId="6A845CAE" w14:textId="77777777" w:rsidR="002A3F49" w:rsidRDefault="002A3F49"/>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E75F67B" w14:textId="77777777" w:rsidR="00C56D40" w:rsidRDefault="00C56D40">
      <w:r>
        <w:separator/>
      </w:r>
    </w:p>
  </w:footnote>
  <w:footnote w:type="continuationSeparator" w:id="0">
    <w:p w14:paraId="78FC4B4C" w14:textId="77777777" w:rsidR="00C56D40" w:rsidRDefault="00C56D40">
      <w:r>
        <w:continuationSeparator/>
      </w:r>
    </w:p>
  </w:footnote>
  <w:footnote w:id="1">
    <w:p w14:paraId="0911DFE1" w14:textId="77777777" w:rsidR="006C62F2" w:rsidRDefault="006C62F2" w:rsidP="006C62F2">
      <w:pPr>
        <w:tabs>
          <w:tab w:val="left" w:pos="1260"/>
        </w:tabs>
        <w:ind w:left="182" w:hanging="40"/>
        <w:jc w:val="both"/>
        <w:rPr>
          <w:rFonts w:eastAsia="Times New Roman"/>
          <w:sz w:val="18"/>
        </w:rPr>
      </w:pPr>
      <w:r>
        <w:t xml:space="preserve">¹ </w:t>
      </w:r>
      <w:r w:rsidRPr="007B32B5">
        <w:rPr>
          <w:rFonts w:eastAsia="Times New Roman"/>
          <w:sz w:val="18"/>
        </w:rPr>
        <w:t>Psicóloga clínica do esporte e da performance, com ênfase em preparação mental e desenvolvimento de carreira. Atua com as equipes femininas da Seleção Brasileira de Basquete e em consultório particular. É Bacharel em Psicologia (UFTM), Especialista em Psicologia do Esporte (CFP), Mestre em Psicologia (USP) e Doutoranda em Biodinâmica do Movimento e Esporte (UNICAMP). É membro das duas associações brasileiras da Psicologia do Esporte (ABRAPESP e ABEPEEx) e do Grupo de Estudos em Psicologia do Esporte e Neurociências GEPEN/FEF-UNICAMP.</w:t>
      </w:r>
      <w:r>
        <w:rPr>
          <w:rFonts w:eastAsia="Times New Roman"/>
          <w:sz w:val="18"/>
        </w:rPr>
        <w:t xml:space="preserve"> (</w:t>
      </w:r>
      <w:hyperlink r:id="rId1" w:history="1">
        <w:r w:rsidRPr="008D07D4">
          <w:rPr>
            <w:rStyle w:val="Hyperlink"/>
            <w:rFonts w:eastAsia="Times New Roman"/>
            <w:sz w:val="18"/>
          </w:rPr>
          <w:t>manoellafiochimarques@gmail.com</w:t>
        </w:r>
      </w:hyperlink>
      <w:r>
        <w:rPr>
          <w:rFonts w:eastAsia="Times New Roman"/>
          <w:sz w:val="18"/>
        </w:rPr>
        <w:t>)</w:t>
      </w:r>
    </w:p>
    <w:p w14:paraId="0DC670FD" w14:textId="77777777" w:rsidR="006C62F2" w:rsidRDefault="006C62F2" w:rsidP="006C62F2">
      <w:pPr>
        <w:tabs>
          <w:tab w:val="left" w:pos="1260"/>
        </w:tabs>
        <w:ind w:left="182" w:hanging="40"/>
        <w:jc w:val="both"/>
        <w:rPr>
          <w:rFonts w:eastAsia="Times New Roman"/>
          <w:sz w:val="18"/>
        </w:rPr>
      </w:pPr>
      <w:r>
        <w:t xml:space="preserve">² </w:t>
      </w:r>
      <w:r w:rsidRPr="007B32B5">
        <w:rPr>
          <w:rFonts w:eastAsia="Times New Roman"/>
          <w:sz w:val="18"/>
        </w:rPr>
        <w:t>Docente do Programa de Pós-Graduação Stricto Sensu em Psicologia da Universidade São Francisco USF. Doutor em Psicologia pela PUC-Campinas. Estágio pós-doutoral em Psicologia desenvolvido na USF. Membro do GT Avaliação Psicológica em Psicologia Positiva e Criatividade na ANPEPP. É bolsista produtividade em pesquisa nível 2 do CNPq. Coordenador do Núcleo de Estudos e Pesquisa em Psicologia do Esporte e do Exercício – NuEPPEE/USF</w:t>
      </w:r>
      <w:r>
        <w:rPr>
          <w:rFonts w:eastAsia="Times New Roman"/>
          <w:sz w:val="18"/>
        </w:rPr>
        <w:t xml:space="preserve">. </w:t>
      </w:r>
    </w:p>
    <w:p w14:paraId="10E960DF" w14:textId="0FBBBCA0" w:rsidR="006C62F2" w:rsidRPr="007B32B5" w:rsidRDefault="006C62F2" w:rsidP="006C62F2">
      <w:pPr>
        <w:tabs>
          <w:tab w:val="left" w:pos="1260"/>
        </w:tabs>
        <w:ind w:left="182" w:hanging="40"/>
        <w:jc w:val="both"/>
        <w:rPr>
          <w:rFonts w:eastAsia="Times New Roman"/>
          <w:sz w:val="18"/>
        </w:rPr>
      </w:pPr>
      <w:r>
        <w:t>³</w:t>
      </w:r>
      <w:r w:rsidR="00592B7D">
        <w:t xml:space="preserve"> </w:t>
      </w:r>
      <w:r w:rsidRPr="007B32B5">
        <w:rPr>
          <w:rFonts w:eastAsia="Times New Roman"/>
          <w:sz w:val="18"/>
        </w:rPr>
        <w:t>Psicóloga, com Mestrado, Doutorado e Pós-Doutorado em Neurociências, pela UNICAMP. Professora Livre Docente do Departamento de Ciências do Esporte da Faculdade de Educação Física (FEF) da UNICAMP, na área de Psicologia do Esporte e Neurociências (Graduação e Pós-graduação), Coordenadora do GEPEN - Grupo de Estudos em Psicologia do Esporte e Neurociências da FEF-UNICAMP e da Residência Multiprofissional em Saúde, área criança e adolescente, FCM-UNICAMP. Foi psicóloga da Seleção Brasileira de Basquete Feminino</w:t>
      </w:r>
      <w:r>
        <w:rPr>
          <w:rFonts w:eastAsia="Times New Roman"/>
          <w:sz w:val="18"/>
        </w:rPr>
        <w:t>.</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9BDAE2E" w14:textId="77777777" w:rsidR="002A3F49" w:rsidRDefault="002A3F49">
    <w:pPr>
      <w:pStyle w:val="Cabealho"/>
      <w:jc w:val="center"/>
      <w:rPr>
        <w:sz w:val="18"/>
      </w:rPr>
    </w:pPr>
    <w:r>
      <w:rPr>
        <w:sz w:val="18"/>
      </w:rPr>
      <w:t>Autor (não preencher)</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04A5DE2" w14:textId="77777777" w:rsidR="002A3F49" w:rsidRDefault="002A3F49">
    <w:pPr>
      <w:ind w:right="360"/>
      <w:jc w:val="center"/>
      <w:rPr>
        <w:sz w:val="18"/>
      </w:rPr>
    </w:pPr>
    <w:r>
      <w:rPr>
        <w:sz w:val="18"/>
      </w:rPr>
      <w:t>Título do Artigo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00001"/>
    <w:multiLevelType w:val="singleLevel"/>
    <w:tmpl w:val="00000001"/>
    <w:name w:val="WW8Num1"/>
    <w:lvl w:ilvl="0">
      <w:start w:val="1"/>
      <w:numFmt w:val="bullet"/>
      <w:lvlText w:val=""/>
      <w:lvlJc w:val="left"/>
      <w:pPr>
        <w:tabs>
          <w:tab w:val="num" w:pos="360"/>
        </w:tabs>
        <w:ind w:left="360" w:hanging="360"/>
      </w:pPr>
      <w:rPr>
        <w:rFonts w:ascii="Symbol" w:hAnsi="Symbol"/>
      </w:rPr>
    </w:lvl>
  </w:abstractNum>
  <w:abstractNum w:abstractNumId="1" w15:restartNumberingAfterBreak="0">
    <w:nsid w:val="00000002"/>
    <w:multiLevelType w:val="multilevel"/>
    <w:tmpl w:val="00000002"/>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284"/>
  <w:hyphenationZone w:val="425"/>
  <w:evenAndOddHeaders/>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strictFirstAndLastChar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23C1C"/>
    <w:rsid w:val="00016277"/>
    <w:rsid w:val="00020EAC"/>
    <w:rsid w:val="00023C1C"/>
    <w:rsid w:val="00025736"/>
    <w:rsid w:val="00034666"/>
    <w:rsid w:val="000A37BA"/>
    <w:rsid w:val="000A5776"/>
    <w:rsid w:val="000C2FEC"/>
    <w:rsid w:val="000C7DA2"/>
    <w:rsid w:val="000D4099"/>
    <w:rsid w:val="000F5F32"/>
    <w:rsid w:val="000F5F98"/>
    <w:rsid w:val="00182364"/>
    <w:rsid w:val="001947D2"/>
    <w:rsid w:val="001A4DB9"/>
    <w:rsid w:val="001C2E4D"/>
    <w:rsid w:val="001D49B7"/>
    <w:rsid w:val="0020276E"/>
    <w:rsid w:val="002030D1"/>
    <w:rsid w:val="002259CC"/>
    <w:rsid w:val="00233DD5"/>
    <w:rsid w:val="002379EF"/>
    <w:rsid w:val="00264156"/>
    <w:rsid w:val="00287302"/>
    <w:rsid w:val="002A3F49"/>
    <w:rsid w:val="002A7BF6"/>
    <w:rsid w:val="002B6561"/>
    <w:rsid w:val="002F4CD3"/>
    <w:rsid w:val="0031314D"/>
    <w:rsid w:val="00350613"/>
    <w:rsid w:val="003752CF"/>
    <w:rsid w:val="003759B8"/>
    <w:rsid w:val="00375EF5"/>
    <w:rsid w:val="003926F6"/>
    <w:rsid w:val="003E7DC0"/>
    <w:rsid w:val="003F63A4"/>
    <w:rsid w:val="003F6C3A"/>
    <w:rsid w:val="00407D09"/>
    <w:rsid w:val="00417B8E"/>
    <w:rsid w:val="00421BCF"/>
    <w:rsid w:val="00431C85"/>
    <w:rsid w:val="004467F2"/>
    <w:rsid w:val="004560D4"/>
    <w:rsid w:val="00475587"/>
    <w:rsid w:val="004B7710"/>
    <w:rsid w:val="004C3589"/>
    <w:rsid w:val="00521618"/>
    <w:rsid w:val="005751C9"/>
    <w:rsid w:val="00577DA7"/>
    <w:rsid w:val="00592216"/>
    <w:rsid w:val="00592B7D"/>
    <w:rsid w:val="005C54D7"/>
    <w:rsid w:val="005C7A64"/>
    <w:rsid w:val="005D7D00"/>
    <w:rsid w:val="005E465E"/>
    <w:rsid w:val="006211D9"/>
    <w:rsid w:val="00640BF8"/>
    <w:rsid w:val="00645B66"/>
    <w:rsid w:val="006517C8"/>
    <w:rsid w:val="00693D4F"/>
    <w:rsid w:val="006B162C"/>
    <w:rsid w:val="006C62F2"/>
    <w:rsid w:val="006D59B7"/>
    <w:rsid w:val="006D606A"/>
    <w:rsid w:val="00716288"/>
    <w:rsid w:val="00722688"/>
    <w:rsid w:val="00727611"/>
    <w:rsid w:val="00751DE2"/>
    <w:rsid w:val="00757938"/>
    <w:rsid w:val="00760245"/>
    <w:rsid w:val="00761E5F"/>
    <w:rsid w:val="00792268"/>
    <w:rsid w:val="007A5B0C"/>
    <w:rsid w:val="007B32B5"/>
    <w:rsid w:val="007B3FDD"/>
    <w:rsid w:val="007C21B4"/>
    <w:rsid w:val="007D7C88"/>
    <w:rsid w:val="008023B9"/>
    <w:rsid w:val="00810F76"/>
    <w:rsid w:val="00825F04"/>
    <w:rsid w:val="0083673E"/>
    <w:rsid w:val="00873D10"/>
    <w:rsid w:val="008832AB"/>
    <w:rsid w:val="008B0329"/>
    <w:rsid w:val="008E1143"/>
    <w:rsid w:val="008E392F"/>
    <w:rsid w:val="008F0DC9"/>
    <w:rsid w:val="00912F79"/>
    <w:rsid w:val="009235C3"/>
    <w:rsid w:val="009311AC"/>
    <w:rsid w:val="009319F5"/>
    <w:rsid w:val="00936C38"/>
    <w:rsid w:val="009536F2"/>
    <w:rsid w:val="009827F3"/>
    <w:rsid w:val="00A124FC"/>
    <w:rsid w:val="00A22A97"/>
    <w:rsid w:val="00A6414A"/>
    <w:rsid w:val="00A64FD1"/>
    <w:rsid w:val="00AA54FC"/>
    <w:rsid w:val="00AB0E92"/>
    <w:rsid w:val="00AF33A6"/>
    <w:rsid w:val="00AF4068"/>
    <w:rsid w:val="00B565A4"/>
    <w:rsid w:val="00B644B9"/>
    <w:rsid w:val="00B979AE"/>
    <w:rsid w:val="00BA7615"/>
    <w:rsid w:val="00BB2FB1"/>
    <w:rsid w:val="00BB32C2"/>
    <w:rsid w:val="00BC2379"/>
    <w:rsid w:val="00BF6D16"/>
    <w:rsid w:val="00C26DF3"/>
    <w:rsid w:val="00C43611"/>
    <w:rsid w:val="00C53E5E"/>
    <w:rsid w:val="00C56D40"/>
    <w:rsid w:val="00C6117D"/>
    <w:rsid w:val="00C8115E"/>
    <w:rsid w:val="00C91EE1"/>
    <w:rsid w:val="00CA0CB3"/>
    <w:rsid w:val="00CC3572"/>
    <w:rsid w:val="00D3118E"/>
    <w:rsid w:val="00D35857"/>
    <w:rsid w:val="00D44414"/>
    <w:rsid w:val="00D71A78"/>
    <w:rsid w:val="00D86C92"/>
    <w:rsid w:val="00DD7DC4"/>
    <w:rsid w:val="00DE026E"/>
    <w:rsid w:val="00DF55EA"/>
    <w:rsid w:val="00E02AF4"/>
    <w:rsid w:val="00E32CDB"/>
    <w:rsid w:val="00E3750E"/>
    <w:rsid w:val="00E61371"/>
    <w:rsid w:val="00E97DE6"/>
    <w:rsid w:val="00F4005B"/>
    <w:rsid w:val="00F40A86"/>
    <w:rsid w:val="00F5248D"/>
    <w:rsid w:val="00FD0BFC"/>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836AFE"/>
  <w15:chartTrackingRefBased/>
  <w15:docId w15:val="{ECE49E87-4A49-47F7-AB64-31FDDFE028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pt-BR" w:eastAsia="pt-B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60245"/>
    <w:pPr>
      <w:widowControl w:val="0"/>
      <w:suppressAutoHyphens/>
    </w:pPr>
    <w:rPr>
      <w:rFonts w:eastAsia="Tahoma" w:cs="Arial Unicode MS"/>
      <w:sz w:val="24"/>
      <w:szCs w:val="24"/>
      <w:lang w:bidi="pt-BR"/>
    </w:rPr>
  </w:style>
  <w:style w:type="paragraph" w:styleId="Ttulo1">
    <w:name w:val="heading 1"/>
    <w:basedOn w:val="Normal"/>
    <w:next w:val="Normal"/>
    <w:qFormat/>
    <w:pPr>
      <w:keepNext/>
      <w:spacing w:line="360" w:lineRule="auto"/>
      <w:outlineLvl w:val="0"/>
    </w:pPr>
    <w:rPr>
      <w:b/>
    </w:rPr>
  </w:style>
  <w:style w:type="paragraph" w:styleId="Ttulo2">
    <w:name w:val="heading 2"/>
    <w:basedOn w:val="Normal"/>
    <w:next w:val="Normal"/>
    <w:qFormat/>
    <w:pPr>
      <w:keepNext/>
      <w:widowControl/>
      <w:tabs>
        <w:tab w:val="left" w:pos="1260"/>
      </w:tabs>
      <w:suppressAutoHyphens w:val="0"/>
      <w:spacing w:line="360" w:lineRule="auto"/>
      <w:ind w:left="180" w:hanging="38"/>
      <w:jc w:val="both"/>
      <w:outlineLvl w:val="1"/>
    </w:pPr>
    <w:rPr>
      <w:rFonts w:eastAsia="Times New Roman"/>
      <w:b/>
    </w:rPr>
  </w:style>
  <w:style w:type="paragraph" w:styleId="Ttulo3">
    <w:name w:val="heading 3"/>
    <w:basedOn w:val="Normal"/>
    <w:next w:val="Normal"/>
    <w:qFormat/>
    <w:pPr>
      <w:keepNext/>
      <w:spacing w:line="360" w:lineRule="auto"/>
      <w:ind w:firstLine="1134"/>
      <w:jc w:val="center"/>
      <w:outlineLvl w:val="2"/>
    </w:pPr>
    <w:rPr>
      <w:b/>
      <w:color w:val="FF0000"/>
      <w:sz w:val="20"/>
    </w:rPr>
  </w:style>
  <w:style w:type="paragraph" w:styleId="Ttulo4">
    <w:name w:val="heading 4"/>
    <w:basedOn w:val="Normal"/>
    <w:next w:val="Normal"/>
    <w:qFormat/>
    <w:pPr>
      <w:keepNext/>
      <w:tabs>
        <w:tab w:val="left" w:pos="1260"/>
      </w:tabs>
      <w:spacing w:line="360" w:lineRule="auto"/>
      <w:ind w:firstLine="1259"/>
      <w:jc w:val="center"/>
      <w:outlineLvl w:val="3"/>
    </w:pPr>
    <w:rPr>
      <w:b/>
      <w:color w:val="FF0000"/>
      <w:sz w:val="20"/>
    </w:rPr>
  </w:style>
  <w:style w:type="paragraph" w:styleId="Ttulo5">
    <w:name w:val="heading 5"/>
    <w:basedOn w:val="Normal"/>
    <w:next w:val="Normal"/>
    <w:qFormat/>
    <w:pPr>
      <w:keepNext/>
      <w:tabs>
        <w:tab w:val="left" w:pos="1260"/>
      </w:tabs>
      <w:spacing w:line="360" w:lineRule="auto"/>
      <w:ind w:left="180" w:firstLine="180"/>
      <w:jc w:val="center"/>
      <w:outlineLvl w:val="4"/>
    </w:pPr>
    <w:rPr>
      <w:b/>
      <w:color w:val="FF0000"/>
      <w:sz w:val="20"/>
    </w:rPr>
  </w:style>
  <w:style w:type="paragraph" w:styleId="Ttulo6">
    <w:name w:val="heading 6"/>
    <w:basedOn w:val="Normal"/>
    <w:next w:val="Normal"/>
    <w:qFormat/>
    <w:pPr>
      <w:keepNext/>
      <w:snapToGrid w:val="0"/>
      <w:spacing w:before="40" w:after="40"/>
      <w:outlineLvl w:val="5"/>
    </w:pPr>
    <w:rPr>
      <w:b/>
      <w:sz w:val="20"/>
    </w:rPr>
  </w:style>
  <w:style w:type="paragraph" w:styleId="Ttulo7">
    <w:name w:val="heading 7"/>
    <w:basedOn w:val="Normal"/>
    <w:next w:val="Normal"/>
    <w:qFormat/>
    <w:pPr>
      <w:keepNext/>
      <w:snapToGrid w:val="0"/>
      <w:spacing w:before="40" w:after="40"/>
      <w:jc w:val="center"/>
      <w:outlineLvl w:val="6"/>
    </w:pPr>
    <w:rPr>
      <w:b/>
      <w:sz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WW8Num1z0">
    <w:name w:val="WW8Num1z0"/>
    <w:rPr>
      <w:rFonts w:ascii="Symbol" w:hAnsi="Symbol"/>
    </w:rPr>
  </w:style>
  <w:style w:type="character" w:customStyle="1" w:styleId="Absatz-Standardschriftart">
    <w:name w:val="Absatz-Standardschriftart"/>
  </w:style>
  <w:style w:type="character" w:customStyle="1" w:styleId="WW-Fontepargpadro">
    <w:name w:val="WW-Fonte parág. padrão"/>
  </w:style>
  <w:style w:type="character" w:customStyle="1" w:styleId="WW-Absatz-Standardschriftart">
    <w:name w:val="WW-Absatz-Standardschriftart"/>
  </w:style>
  <w:style w:type="character" w:customStyle="1" w:styleId="WW-Absatz-Standardschriftart1">
    <w:name w:val="WW-Absatz-Standardschriftart1"/>
  </w:style>
  <w:style w:type="character" w:customStyle="1" w:styleId="WW-Absatz-Standardschriftart11">
    <w:name w:val="WW-Absatz-Standardschriftart11"/>
  </w:style>
  <w:style w:type="character" w:customStyle="1" w:styleId="WW8Num4z0">
    <w:name w:val="WW8Num4z0"/>
    <w:rPr>
      <w:rFonts w:ascii="Symbol" w:hAnsi="Symbol"/>
    </w:rPr>
  </w:style>
  <w:style w:type="character" w:customStyle="1" w:styleId="WW8Num4z1">
    <w:name w:val="WW8Num4z1"/>
    <w:rPr>
      <w:rFonts w:ascii="Courier New" w:hAnsi="Courier New" w:cs="Courier New"/>
    </w:rPr>
  </w:style>
  <w:style w:type="character" w:customStyle="1" w:styleId="WW8Num4z2">
    <w:name w:val="WW8Num4z2"/>
    <w:rPr>
      <w:rFonts w:ascii="Wingdings" w:hAnsi="Wingdings"/>
    </w:rPr>
  </w:style>
  <w:style w:type="character" w:customStyle="1" w:styleId="WW8Num5z0">
    <w:name w:val="WW8Num5z0"/>
    <w:rPr>
      <w:rFonts w:ascii="Symbol" w:hAnsi="Symbol"/>
    </w:rPr>
  </w:style>
  <w:style w:type="character" w:customStyle="1" w:styleId="WW8Num5z1">
    <w:name w:val="WW8Num5z1"/>
    <w:rPr>
      <w:rFonts w:ascii="Courier New" w:hAnsi="Courier New" w:cs="Courier New"/>
    </w:rPr>
  </w:style>
  <w:style w:type="character" w:customStyle="1" w:styleId="WW8Num5z2">
    <w:name w:val="WW8Num5z2"/>
    <w:rPr>
      <w:rFonts w:ascii="Wingdings" w:hAnsi="Wingdings"/>
    </w:rPr>
  </w:style>
  <w:style w:type="character" w:customStyle="1" w:styleId="WW-Fontepargpadro1">
    <w:name w:val="WW-Fonte parág. padrão1"/>
  </w:style>
  <w:style w:type="character" w:customStyle="1" w:styleId="Smbolosdenumerao">
    <w:name w:val="Símbolos de numeração"/>
  </w:style>
  <w:style w:type="character" w:customStyle="1" w:styleId="CaracteresdeNotadeRodap">
    <w:name w:val="Caracteres de Nota de Rodapé"/>
    <w:rPr>
      <w:vertAlign w:val="superscript"/>
    </w:rPr>
  </w:style>
  <w:style w:type="character" w:styleId="Hyperlink">
    <w:name w:val="Hyperlink"/>
    <w:rPr>
      <w:color w:val="0000FF"/>
      <w:u w:val="single"/>
    </w:rPr>
  </w:style>
  <w:style w:type="character" w:styleId="Nmerodepgina">
    <w:name w:val="page number"/>
    <w:basedOn w:val="WW-Fontepargpadro1"/>
  </w:style>
  <w:style w:type="character" w:customStyle="1" w:styleId="CaracteresdeNotadeFim">
    <w:name w:val="Caracteres de Nota de Fim"/>
    <w:rPr>
      <w:vertAlign w:val="superscript"/>
    </w:rPr>
  </w:style>
  <w:style w:type="character" w:styleId="Refdenotaderodap">
    <w:name w:val="footnote reference"/>
    <w:semiHidden/>
    <w:rPr>
      <w:vertAlign w:val="superscript"/>
    </w:rPr>
  </w:style>
  <w:style w:type="character" w:styleId="Refdenotadefim">
    <w:name w:val="endnote reference"/>
    <w:semiHidden/>
    <w:rPr>
      <w:vertAlign w:val="superscript"/>
    </w:rPr>
  </w:style>
  <w:style w:type="character" w:customStyle="1" w:styleId="WW-Refdenotadefim">
    <w:name w:val="WW-Ref. de nota de fim"/>
    <w:rPr>
      <w:vertAlign w:val="superscript"/>
    </w:rPr>
  </w:style>
  <w:style w:type="character" w:customStyle="1" w:styleId="WW-Refdenotaderodap">
    <w:name w:val="WW-Ref. de nota de rodapé"/>
    <w:rPr>
      <w:vertAlign w:val="superscript"/>
    </w:rPr>
  </w:style>
  <w:style w:type="character" w:styleId="HiperlinkVisitado">
    <w:name w:val="FollowedHyperlink"/>
    <w:rPr>
      <w:color w:val="800080"/>
      <w:u w:val="single"/>
    </w:rPr>
  </w:style>
  <w:style w:type="paragraph" w:customStyle="1" w:styleId="Captulo">
    <w:name w:val="Capítulo"/>
    <w:basedOn w:val="Normal"/>
    <w:next w:val="Corpodetexto"/>
    <w:pPr>
      <w:keepNext/>
      <w:spacing w:before="240" w:after="120"/>
    </w:pPr>
    <w:rPr>
      <w:rFonts w:ascii="Arial" w:eastAsia="Mincho" w:hAnsi="Arial"/>
      <w:sz w:val="28"/>
      <w:szCs w:val="28"/>
    </w:rPr>
  </w:style>
  <w:style w:type="paragraph" w:styleId="Corpodetexto">
    <w:name w:val="Body Text"/>
    <w:basedOn w:val="Normal"/>
    <w:pPr>
      <w:spacing w:after="120"/>
    </w:pPr>
  </w:style>
  <w:style w:type="paragraph" w:styleId="Lista">
    <w:name w:val="List"/>
    <w:basedOn w:val="Corpodetexto"/>
  </w:style>
  <w:style w:type="paragraph" w:styleId="Legenda">
    <w:name w:val="caption"/>
    <w:basedOn w:val="Normal"/>
    <w:qFormat/>
    <w:pPr>
      <w:suppressLineNumbers/>
      <w:spacing w:before="120" w:after="120"/>
    </w:pPr>
    <w:rPr>
      <w:i/>
      <w:iCs/>
    </w:rPr>
  </w:style>
  <w:style w:type="paragraph" w:customStyle="1" w:styleId="ndice">
    <w:name w:val="Índice"/>
    <w:basedOn w:val="Normal"/>
    <w:pPr>
      <w:suppressLineNumbers/>
    </w:pPr>
  </w:style>
  <w:style w:type="paragraph" w:customStyle="1" w:styleId="Legenda1">
    <w:name w:val="Legenda1"/>
    <w:basedOn w:val="Normal"/>
    <w:pPr>
      <w:suppressLineNumbers/>
      <w:spacing w:before="120" w:after="120"/>
    </w:pPr>
    <w:rPr>
      <w:i/>
      <w:iCs/>
    </w:rPr>
  </w:style>
  <w:style w:type="paragraph" w:styleId="Textodenotaderodap">
    <w:name w:val="footnote text"/>
    <w:basedOn w:val="Normal"/>
    <w:semiHidden/>
    <w:rPr>
      <w:sz w:val="20"/>
      <w:szCs w:val="20"/>
    </w:rPr>
  </w:style>
  <w:style w:type="paragraph" w:styleId="Cabealho">
    <w:name w:val="header"/>
    <w:basedOn w:val="Normal"/>
    <w:pPr>
      <w:tabs>
        <w:tab w:val="center" w:pos="4252"/>
        <w:tab w:val="right" w:pos="8504"/>
      </w:tabs>
    </w:pPr>
  </w:style>
  <w:style w:type="paragraph" w:styleId="Rodap">
    <w:name w:val="footer"/>
    <w:basedOn w:val="Normal"/>
    <w:pPr>
      <w:tabs>
        <w:tab w:val="center" w:pos="4252"/>
        <w:tab w:val="right" w:pos="8504"/>
      </w:tabs>
    </w:pPr>
  </w:style>
  <w:style w:type="paragraph" w:styleId="Recuodecorpodetexto">
    <w:name w:val="Body Text Indent"/>
    <w:basedOn w:val="Normal"/>
    <w:pPr>
      <w:spacing w:after="120"/>
      <w:ind w:left="283"/>
    </w:pPr>
  </w:style>
  <w:style w:type="paragraph" w:styleId="Textodenotadefim">
    <w:name w:val="endnote text"/>
    <w:basedOn w:val="Normal"/>
    <w:semiHidden/>
    <w:rPr>
      <w:sz w:val="20"/>
      <w:szCs w:val="20"/>
    </w:rPr>
  </w:style>
  <w:style w:type="paragraph" w:customStyle="1" w:styleId="Contedodatabela">
    <w:name w:val="Conteúdo da tabela"/>
    <w:basedOn w:val="Normal"/>
    <w:pPr>
      <w:suppressLineNumbers/>
    </w:pPr>
  </w:style>
  <w:style w:type="paragraph" w:customStyle="1" w:styleId="Ttulodatabela">
    <w:name w:val="Título da tabela"/>
    <w:basedOn w:val="Contedodatabela"/>
    <w:pPr>
      <w:jc w:val="center"/>
    </w:pPr>
    <w:rPr>
      <w:b/>
      <w:bCs/>
    </w:rPr>
  </w:style>
  <w:style w:type="paragraph" w:customStyle="1" w:styleId="Contedodoquadro">
    <w:name w:val="Conteúdo do quadro"/>
    <w:basedOn w:val="Corpodetexto"/>
  </w:style>
  <w:style w:type="paragraph" w:styleId="Corpodetexto2">
    <w:name w:val="Body Text 2"/>
    <w:basedOn w:val="Normal"/>
    <w:pPr>
      <w:spacing w:line="360" w:lineRule="auto"/>
      <w:jc w:val="both"/>
    </w:pPr>
    <w:rPr>
      <w:rFonts w:eastAsia="Times New Roman"/>
      <w:b/>
      <w:color w:val="000000"/>
      <w:lang w:eastAsia="ar-SA"/>
    </w:rPr>
  </w:style>
  <w:style w:type="paragraph" w:styleId="Recuodecorpodetexto2">
    <w:name w:val="Body Text Indent 2"/>
    <w:basedOn w:val="Normal"/>
    <w:pPr>
      <w:spacing w:line="360" w:lineRule="auto"/>
      <w:ind w:firstLine="1134"/>
      <w:jc w:val="both"/>
    </w:pPr>
    <w:rPr>
      <w:rFonts w:eastAsia="Times New Roman"/>
      <w:b/>
      <w:color w:val="000000"/>
      <w:lang w:eastAsia="ar-SA"/>
    </w:rPr>
  </w:style>
  <w:style w:type="paragraph" w:styleId="Corpodetexto3">
    <w:name w:val="Body Text 3"/>
    <w:basedOn w:val="Normal"/>
    <w:pPr>
      <w:spacing w:line="360" w:lineRule="auto"/>
      <w:jc w:val="both"/>
    </w:pPr>
    <w:rPr>
      <w:rFonts w:eastAsia="Times New Roman"/>
      <w:color w:val="000000"/>
      <w:lang w:eastAsia="ar-SA"/>
    </w:rPr>
  </w:style>
  <w:style w:type="paragraph" w:styleId="Recuodecorpodetexto3">
    <w:name w:val="Body Text Indent 3"/>
    <w:basedOn w:val="Normal"/>
    <w:pPr>
      <w:tabs>
        <w:tab w:val="left" w:pos="1260"/>
      </w:tabs>
      <w:spacing w:line="360" w:lineRule="auto"/>
      <w:ind w:left="180" w:firstLine="104"/>
      <w:jc w:val="both"/>
    </w:pPr>
  </w:style>
  <w:style w:type="paragraph" w:styleId="MapadoDocumento">
    <w:name w:val="Document Map"/>
    <w:basedOn w:val="Normal"/>
    <w:pPr>
      <w:shd w:val="clear" w:color="auto" w:fill="000080"/>
    </w:pPr>
    <w:rPr>
      <w:rFonts w:ascii="Tahoma" w:hAnsi="Tahoma"/>
    </w:rPr>
  </w:style>
  <w:style w:type="paragraph" w:customStyle="1" w:styleId="WW-Corpodetexto2">
    <w:name w:val="WW-Corpo de texto 2"/>
    <w:basedOn w:val="Normal"/>
    <w:pPr>
      <w:jc w:val="center"/>
    </w:pPr>
    <w:rPr>
      <w:rFonts w:eastAsia="Times New Roman"/>
      <w:b/>
      <w:sz w:val="22"/>
    </w:rPr>
  </w:style>
  <w:style w:type="paragraph" w:customStyle="1" w:styleId="WW-Corpodetexto3">
    <w:name w:val="WW-Corpo de texto 3"/>
    <w:basedOn w:val="Normal"/>
    <w:pPr>
      <w:spacing w:line="360" w:lineRule="auto"/>
      <w:jc w:val="both"/>
    </w:pPr>
    <w:rPr>
      <w:sz w:val="22"/>
    </w:rPr>
  </w:style>
  <w:style w:type="paragraph" w:customStyle="1" w:styleId="WW-Recuodecorpodetexto2">
    <w:name w:val="WW-Recuo de corpo de texto 2"/>
    <w:basedOn w:val="Normal"/>
    <w:pPr>
      <w:spacing w:line="360" w:lineRule="auto"/>
      <w:ind w:firstLine="709"/>
      <w:jc w:val="both"/>
    </w:pPr>
    <w:rPr>
      <w:rFonts w:eastAsia="Times New Roman"/>
      <w:color w:val="000000"/>
      <w:sz w:val="22"/>
      <w:lang w:eastAsia="ar-SA"/>
    </w:rPr>
  </w:style>
  <w:style w:type="paragraph" w:customStyle="1" w:styleId="WW-Recuodecorpodetexto3">
    <w:name w:val="WW-Recuo de corpo de texto 3"/>
    <w:basedOn w:val="Normal"/>
    <w:pPr>
      <w:spacing w:line="360" w:lineRule="auto"/>
      <w:ind w:left="2268"/>
      <w:jc w:val="both"/>
    </w:pPr>
    <w:rPr>
      <w:rFonts w:eastAsia="Arial Unicode MS"/>
      <w:sz w:val="20"/>
    </w:rPr>
  </w:style>
  <w:style w:type="paragraph" w:styleId="NormalWeb">
    <w:name w:val="Normal (Web)"/>
    <w:basedOn w:val="Normal"/>
    <w:uiPriority w:val="99"/>
    <w:rsid w:val="003926F6"/>
    <w:pPr>
      <w:widowControl/>
      <w:suppressAutoHyphens w:val="0"/>
      <w:spacing w:before="100" w:beforeAutospacing="1" w:after="100" w:afterAutospacing="1"/>
    </w:pPr>
    <w:rPr>
      <w:rFonts w:eastAsia="Times New Roman" w:cs="Times New Roman"/>
      <w:lang w:bidi="ar-SA"/>
    </w:rPr>
  </w:style>
  <w:style w:type="paragraph" w:customStyle="1" w:styleId="CorpodoTexto-Tese">
    <w:name w:val="Corpo do Texto - Tese"/>
    <w:basedOn w:val="Corpodetexto"/>
    <w:rsid w:val="00912F79"/>
    <w:pPr>
      <w:widowControl/>
      <w:suppressAutoHyphens w:val="0"/>
      <w:spacing w:after="180" w:line="360" w:lineRule="auto"/>
      <w:jc w:val="both"/>
    </w:pPr>
    <w:rPr>
      <w:rFonts w:ascii="Arial" w:eastAsia="Times New Roman" w:hAnsi="Arial" w:cs="Arial"/>
      <w:sz w:val="22"/>
      <w:szCs w:val="22"/>
      <w:lang w:bidi="ar-SA"/>
    </w:rPr>
  </w:style>
  <w:style w:type="character" w:styleId="Refdecomentrio">
    <w:name w:val="annotation reference"/>
    <w:uiPriority w:val="99"/>
    <w:semiHidden/>
    <w:unhideWhenUsed/>
    <w:rsid w:val="00DD7DC4"/>
    <w:rPr>
      <w:sz w:val="16"/>
      <w:szCs w:val="16"/>
    </w:rPr>
  </w:style>
  <w:style w:type="paragraph" w:styleId="Textodecomentrio">
    <w:name w:val="annotation text"/>
    <w:basedOn w:val="Normal"/>
    <w:link w:val="TextodecomentrioChar"/>
    <w:uiPriority w:val="99"/>
    <w:semiHidden/>
    <w:unhideWhenUsed/>
    <w:rsid w:val="00DD7DC4"/>
    <w:rPr>
      <w:sz w:val="20"/>
      <w:szCs w:val="20"/>
    </w:rPr>
  </w:style>
  <w:style w:type="character" w:customStyle="1" w:styleId="TextodecomentrioChar">
    <w:name w:val="Texto de comentário Char"/>
    <w:link w:val="Textodecomentrio"/>
    <w:uiPriority w:val="99"/>
    <w:semiHidden/>
    <w:rsid w:val="00DD7DC4"/>
    <w:rPr>
      <w:rFonts w:eastAsia="Tahoma" w:cs="Arial Unicode MS"/>
      <w:lang w:bidi="pt-BR"/>
    </w:rPr>
  </w:style>
  <w:style w:type="paragraph" w:styleId="Assuntodocomentrio">
    <w:name w:val="annotation subject"/>
    <w:basedOn w:val="Textodecomentrio"/>
    <w:next w:val="Textodecomentrio"/>
    <w:link w:val="AssuntodocomentrioChar"/>
    <w:uiPriority w:val="99"/>
    <w:semiHidden/>
    <w:unhideWhenUsed/>
    <w:rsid w:val="00DD7DC4"/>
    <w:rPr>
      <w:b/>
      <w:bCs/>
    </w:rPr>
  </w:style>
  <w:style w:type="character" w:customStyle="1" w:styleId="AssuntodocomentrioChar">
    <w:name w:val="Assunto do comentário Char"/>
    <w:link w:val="Assuntodocomentrio"/>
    <w:uiPriority w:val="99"/>
    <w:semiHidden/>
    <w:rsid w:val="00DD7DC4"/>
    <w:rPr>
      <w:rFonts w:eastAsia="Tahoma" w:cs="Arial Unicode MS"/>
      <w:b/>
      <w:bCs/>
      <w:lang w:bidi="pt-BR"/>
    </w:rPr>
  </w:style>
  <w:style w:type="paragraph" w:styleId="Textodebalo">
    <w:name w:val="Balloon Text"/>
    <w:basedOn w:val="Normal"/>
    <w:link w:val="TextodebaloChar"/>
    <w:uiPriority w:val="99"/>
    <w:semiHidden/>
    <w:unhideWhenUsed/>
    <w:rsid w:val="00DD7DC4"/>
    <w:rPr>
      <w:rFonts w:ascii="Tahoma" w:hAnsi="Tahoma" w:cs="Tahoma"/>
      <w:sz w:val="16"/>
      <w:szCs w:val="16"/>
    </w:rPr>
  </w:style>
  <w:style w:type="character" w:customStyle="1" w:styleId="TextodebaloChar">
    <w:name w:val="Texto de balão Char"/>
    <w:link w:val="Textodebalo"/>
    <w:uiPriority w:val="99"/>
    <w:semiHidden/>
    <w:rsid w:val="00DD7DC4"/>
    <w:rPr>
      <w:rFonts w:ascii="Tahoma" w:eastAsia="Tahoma" w:hAnsi="Tahoma" w:cs="Tahoma"/>
      <w:sz w:val="16"/>
      <w:szCs w:val="16"/>
      <w:lang w:bidi="pt-BR"/>
    </w:rPr>
  </w:style>
  <w:style w:type="table" w:styleId="Tabelacomgrade">
    <w:name w:val="Table Grid"/>
    <w:basedOn w:val="Tabelanormal"/>
    <w:uiPriority w:val="39"/>
    <w:rsid w:val="00E97DE6"/>
    <w:rPr>
      <w:rFonts w:ascii="Aptos" w:eastAsia="Aptos" w:hAnsi="Aptos"/>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enoPendente1">
    <w:name w:val="Menção Pendente1"/>
    <w:uiPriority w:val="99"/>
    <w:semiHidden/>
    <w:unhideWhenUsed/>
    <w:rsid w:val="00C91EE1"/>
    <w:rPr>
      <w:color w:val="605E5C"/>
      <w:shd w:val="clear" w:color="auto" w:fill="E1DFDD"/>
    </w:rPr>
  </w:style>
  <w:style w:type="character" w:customStyle="1" w:styleId="UnresolvedMention">
    <w:name w:val="Unresolved Mention"/>
    <w:basedOn w:val="Fontepargpadro"/>
    <w:uiPriority w:val="99"/>
    <w:semiHidden/>
    <w:unhideWhenUsed/>
    <w:rsid w:val="007B32B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49418808">
      <w:bodyDiv w:val="1"/>
      <w:marLeft w:val="0"/>
      <w:marRight w:val="0"/>
      <w:marTop w:val="0"/>
      <w:marBottom w:val="0"/>
      <w:divBdr>
        <w:top w:val="none" w:sz="0" w:space="0" w:color="auto"/>
        <w:left w:val="none" w:sz="0" w:space="0" w:color="auto"/>
        <w:bottom w:val="none" w:sz="0" w:space="0" w:color="auto"/>
        <w:right w:val="none" w:sz="0" w:space="0" w:color="auto"/>
      </w:divBdr>
    </w:div>
    <w:div w:id="1957832135">
      <w:bodyDiv w:val="1"/>
      <w:marLeft w:val="0"/>
      <w:marRight w:val="0"/>
      <w:marTop w:val="0"/>
      <w:marBottom w:val="0"/>
      <w:divBdr>
        <w:top w:val="none" w:sz="0" w:space="0" w:color="auto"/>
        <w:left w:val="none" w:sz="0" w:space="0" w:color="auto"/>
        <w:bottom w:val="none" w:sz="0" w:space="0" w:color="auto"/>
        <w:right w:val="none" w:sz="0" w:space="0" w:color="auto"/>
      </w:divBdr>
    </w:div>
    <w:div w:id="21191324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footnotes.xml.rels><?xml version="1.0" encoding="UTF-8" standalone="yes"?>
<Relationships xmlns="http://schemas.openxmlformats.org/package/2006/relationships"><Relationship Id="rId1" Type="http://schemas.openxmlformats.org/officeDocument/2006/relationships/hyperlink" Target="mailto:manoellafiochimarques@gmail.com" TargetMode="Externa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00F4BF5-53A1-4919-9F21-352B238C93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16</Pages>
  <Words>6871</Words>
  <Characters>37109</Characters>
  <Application>Microsoft Office Word</Application>
  <DocSecurity>4</DocSecurity>
  <Lines>309</Lines>
  <Paragraphs>87</Paragraphs>
  <ScaleCrop>false</ScaleCrop>
  <HeadingPairs>
    <vt:vector size="2" baseType="variant">
      <vt:variant>
        <vt:lpstr>Título</vt:lpstr>
      </vt:variant>
      <vt:variant>
        <vt:i4>1</vt:i4>
      </vt:variant>
    </vt:vector>
  </HeadingPairs>
  <TitlesOfParts>
    <vt:vector size="1" baseType="lpstr">
      <vt:lpstr>Modelo de Formatação de Artigos para a E-Legis</vt:lpstr>
    </vt:vector>
  </TitlesOfParts>
  <Manager/>
  <Company/>
  <LinksUpToDate>false</LinksUpToDate>
  <CharactersWithSpaces>43893</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Modelo de Formatação de Artigos para a E-Legis</dc:title>
  <dc:subject/>
  <dc:creator>Parecerista</dc:creator>
  <cp:keywords/>
  <dc:description/>
  <cp:lastModifiedBy>Maria do Socorro Dias Aires de Carvalho</cp:lastModifiedBy>
  <cp:revision>2</cp:revision>
  <cp:lastPrinted>2009-09-14T13:10:00Z</cp:lastPrinted>
  <dcterms:created xsi:type="dcterms:W3CDTF">2026-06-30T18:37:00Z</dcterms:created>
  <dcterms:modified xsi:type="dcterms:W3CDTF">2026-06-30T18:37:00Z</dcterms:modified>
  <cp:category/>
</cp:coreProperties>
</file>