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MontserratMedium-bold.ttf" ContentType="application/x-font-ttf"/>
  <Override PartName="/word/fonts/MontserratMedium-boldItalic.ttf" ContentType="application/x-font-ttf"/>
  <Override PartName="/word/fonts/MontserratMedium-italic.ttf" ContentType="application/x-font-ttf"/>
  <Override PartName="/word/fonts/MontserratMedium-regular.ttf" ContentType="application/x-font-ttf"/>
  <Override PartName="/word/fonts/MontserratSemiBold-bold.ttf" ContentType="application/x-font-ttf"/>
  <Override PartName="/word/fonts/MontserratSemiBold-boldItalic.ttf" ContentType="application/x-font-ttf"/>
  <Override PartName="/word/fonts/MontserratSemiBold-italic.ttf" ContentType="application/x-font-ttf"/>
  <Override PartName="/word/fonts/Montserrat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0" w:lineRule="auto"/>
        <w:rPr>
          <w:sz w:val="76"/>
          <w:szCs w:val="76"/>
        </w:rPr>
      </w:pPr>
      <w:r>
        <w:t>IA para DEVs [SD]</w:t>
      </w:r>
    </w:p>
    <w:p w:rsidR="00000000" w:rsidDel="00000000" w:rsidP="00000000" w:rsidRDefault="00000000" w:rsidRPr="00000000" w14:paraId="00000002">
      <w:pPr>
        <w:pStyle w:val="Subtitle"/>
        <w:spacing w:after="0" w:line="240" w:lineRule="auto"/>
        <w:rPr>
          <w:rFonts w:ascii="Montserrat" w:cs="Montserrat" w:eastAsia="Montserrat" w:hAnsi="Montserrat"/>
          <w:color w:val="434343"/>
          <w:sz w:val="36"/>
          <w:szCs w:val="36"/>
        </w:rPr>
      </w:pPr>
      <w:r/>
      <w:r>
        <w:t>Bloco 2 - Semana 03 - Low-Code para QA e SRE com IA - Lista de Exercícios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38329a"/>
          <w:sz w:val="28"/>
          <w:szCs w:val="28"/>
        </w:rPr>
      </w:pPr>
      <w:r w:rsidDel="00000000" w:rsidR="00000000" w:rsidRPr="00000000">
        <w:rPr>
          <w:b w:val="1"/>
          <w:bCs w:val="1"/>
          <w:color w:val="38329a"/>
          <w:sz w:val="28"/>
          <w:szCs w:val="28"/>
          <w:rtl w:val="0"/>
        </w:rPr>
        <w:t xml:space="preserve">SUMÁRIO</w:t>
      </w:r>
    </w:p>
    <w:sdt>
      <w:sdtPr>
        <w:id w:val="-20839852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xn941s8z6j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INFORMAÇÕES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sulncye89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PERGUNTAS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cr5lav3462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PERGUNTA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0g9srfbsjri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PERGUNTA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a37xzg1uld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PERGUNTA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j2z5uz67wy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PERGUNTA 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735a42v4x3c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PERGUNTA 5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7emwy6bvelv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PERGUNTA 6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91a0wfoolk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 PERGUNTA 7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13lbuzgaqp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 PERGUNTA 8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9jds5y5usk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 PERGUNTA 9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typkgz2rwe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2.10. PERGUNTA 10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7xn941s8z6j" w:id="2"/>
      <w:bookmarkEnd w:id="2"/>
      <w:r w:rsidDel="00000000" w:rsidR="00000000" w:rsidRPr="00000000">
        <w:rPr>
          <w:rtl w:val="0"/>
        </w:rPr>
        <w:t xml:space="preserve">1. INFORMAÇÕES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Lista contendo de 8 a 12 exercícios de múltipla escolha com gabarito e feedback referente a semana indicada no subtítulo do documento. O responsável pela elaboração da lista é o mentor da turma, e o responsável pelo cadastro e liberação no AVA é o monitor da turma.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1wsulncye89" w:id="3"/>
      <w:bookmarkEnd w:id="3"/>
      <w:r w:rsidDel="00000000" w:rsidR="00000000" w:rsidRPr="00000000">
        <w:rPr>
          <w:rtl w:val="0"/>
        </w:rPr>
        <w:t xml:space="preserve">2. PERGUNTAS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Perguntas relacionadas aos conteúdos </w:t>
      </w:r>
      <w:r w:rsidDel="00000000" w:rsidR="00000000" w:rsidRPr="00000000">
        <w:rPr>
          <w:b w:val="1"/>
          <w:bCs w:val="1"/>
          <w:rtl w:val="0"/>
        </w:rPr>
        <w:t xml:space="preserve">da semana</w:t>
      </w:r>
      <w:r w:rsidDel="00000000" w:rsidR="00000000" w:rsidRPr="00000000">
        <w:rPr>
          <w:rtl w:val="0"/>
        </w:rPr>
        <w:t xml:space="preserve"> a serem cadastradas na plataforma </w:t>
      </w:r>
      <w:r w:rsidDel="00000000" w:rsidR="00000000" w:rsidRPr="00000000">
        <w:rPr>
          <w:b w:val="1"/>
          <w:bCs w:val="1"/>
          <w:rtl w:val="0"/>
        </w:rPr>
        <w:t xml:space="preserve">AVA</w:t>
      </w:r>
      <w:r w:rsidDel="00000000" w:rsidR="00000000" w:rsidRPr="00000000">
        <w:rPr>
          <w:rtl w:val="0"/>
        </w:rPr>
        <w:t xml:space="preserve"> (Moodle) do </w:t>
      </w:r>
      <w:r w:rsidDel="00000000" w:rsidR="00000000" w:rsidRPr="00000000">
        <w:rPr>
          <w:b w:val="1"/>
          <w:bCs w:val="1"/>
          <w:rtl w:val="0"/>
        </w:rPr>
        <w:t xml:space="preserve">SENAI/SC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b w:val="1"/>
          <w:bCs w:val="1"/>
          <w:color w:val="38329a"/>
        </w:rPr>
      </w:pPr>
      <w:r>
        <w:t>2.1. PERGUNTA 1</w:t>
      </w:r>
    </w:p>
    <w:tbl>
      <w:tblPr>
        <w:tblStyle w:val="Table1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  <w:b/>
              </w:rPr>
              <w:t xml:space="preserve">Contextualização:</w:t>
            </w:r>
            <w:r>
              <w:rPr>
                <w:rFonts w:ascii="Arial" w:hAnsi="Arial"/>
              </w:rPr>
              <w:t xml:space="preserve"> Uma equipe deseja usar IA para gerar testes de API a partir de descrições em linguagem natural. O primeiro teste criado valida que um produto sem estoque não pode ser adicionado ao carrinho. O time quer evitar que o modelo invente endpoints ou resultados esperados.</w:t>
            </w:r>
          </w:p>
          <w:p/>
          <w:p>
            <w:r>
              <w:rPr>
                <w:rFonts w:ascii="Arial" w:hAnsi="Arial"/>
                <w:b/>
              </w:rPr>
              <w:t xml:space="preserve">Comando:</w:t>
            </w:r>
            <w:r>
              <w:rPr>
                <w:rFonts w:ascii="Arial" w:hAnsi="Arial"/>
              </w:rPr>
              <w:t xml:space="preserve"> Assinale a alternativa que apresenta a melhor estratégia para implementar esse fluxo.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gerar um plano de teste estruturado, validá-lo com schema, executar HTTP real e comparar o resultado com um oracle derivado da regra de negócio.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separa geração assistida por IA de validação determinística. O modelo pode propor o plano, mas o schema, a chamada HTTP e o oracle tornam a execução auditável.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pedir ao modelo que informe se o requisito está correto e aceitar a resposta textual como resultado do teste.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O estudante confunde explicação textual com teste executável. Sem execução real e oracle verificável, não há evidência técnica suficiente.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permitir que o agente tente vários endpoints até encontrar uma resposta de sucesso.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Esse distrator ignora o risco de endpoints inventados e de efeitos colaterais. Testes de API devem operar dentro de allowlists e contratos explícitos.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usar apenas screenshots da aplicação para validar a regra de estoque.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regra de estoque é melhor validada no contrato de API. Screenshots podem complementar, mas não substituem a verificação funcional.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remover validações de schema para que o low-code consiga adaptar o teste automaticamente.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Flexibilidade sem schema aumenta chamadas malformadas e comportamento não auditável. Low-code não elimina a necessidade de contratos.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yjivby4q3jc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>
        <w:t>2.2. PERGUNTA 2</w:t>
      </w:r>
    </w:p>
    <w:tbl>
      <w:tblPr>
        <w:tblStyle w:val="Table2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  <w:b/>
              </w:rPr>
              <w:t xml:space="preserve">Contextualização:</w:t>
            </w:r>
            <w:r>
              <w:rPr>
                <w:rFonts w:ascii="Arial" w:hAnsi="Arial"/>
              </w:rPr>
              <w:t xml:space="preserve"> Durante a construção de um workflow low-code para QA, um agente gera steps HTTP em JSON. A equipe percebe que o modelo às vezes sugere caminhos administrativos que não fazem parte do escopo do teste.</w:t>
            </w:r>
          </w:p>
          <w:p/>
          <w:p>
            <w:r>
              <w:rPr>
                <w:rFonts w:ascii="Arial" w:hAnsi="Arial"/>
                <w:b/>
              </w:rPr>
              <w:t xml:space="preserve">Comando:</w:t>
            </w:r>
            <w:r>
              <w:rPr>
                <w:rFonts w:ascii="Arial" w:hAnsi="Arial"/>
              </w:rPr>
              <w:t xml:space="preserve"> Assinale a alternativa que apresenta a ação mais adequada para limitar a execução ao escopo autorizado.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implementar uma allowlist de métodos e paths antes da execução de qualquer tool HTTP.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controles de ação devem ser determinísticos. A allowlist impede que o modelo execute caminhos fora do escopo mesmo que o prompt falhe.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adicionar ao prompt a instrução para que o modelo nunca use endpoints perigosos.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instrução ajuda, mas não impõe segurança. Prompt não deve ser tratado como firewall para execução de tools.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ocultar a lista de endpoints do modelo para que ele não tente usar rotas administrativas.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Sem contrato, o modelo tende a alucinar mais. A solução correta é expor o escopo autorizado e bloquear execução fora dele.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executar todas as chamadas em produção e reverter se algo der errado.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Essa opção aceita efeitos colaterais perigosos. Testes devem ser controlados, reproduzíveis e preferencialmente isolados.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permitir somente requisições GET, mesmo quando o teste exige criar carrinho ou checkout.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Reduzir tudo a GET pode impedir testes necessários. O correto é permitir mutações específicas e seguras, não eliminar a capacidade de teste.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>
        <w:t>2.3. PERGUNTA 3</w:t>
      </w:r>
    </w:p>
    <w:tbl>
      <w:tblPr>
        <w:tblStyle w:val="Table3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  <w:b/>
              </w:rPr>
              <w:t xml:space="preserve">Contextualização:</w:t>
            </w:r>
            <w:r>
              <w:rPr>
                <w:rFonts w:ascii="Arial" w:hAnsi="Arial"/>
              </w:rPr>
              <w:t xml:space="preserve"> Uma regressão visual apresenta SSIM alto e baixa porcentagem de pixels alterados, mas a região alterada contém o botão principal de finalizar compra.</w:t>
            </w:r>
          </w:p>
          <w:p/>
          <w:p>
            <w:r>
              <w:rPr>
                <w:rFonts w:ascii="Arial" w:hAnsi="Arial"/>
                <w:b/>
              </w:rPr>
              <w:t xml:space="preserve">Comando:</w:t>
            </w:r>
            <w:r>
              <w:rPr>
                <w:rFonts w:ascii="Arial" w:hAnsi="Arial"/>
              </w:rPr>
              <w:t xml:space="preserve"> Assinale a alternativa que apresenta a decisão tecnicamente mais adequada para esse resultado.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tratar a mudança como potencialmente crítica, pois métricas globais podem esconder impacto localizado em componente de alto risco.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SSIM e pixel ratio não representam severidade de negócio. Um pequeno diff em CTA pode bloquear um fluxo essencial.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aprovar automaticamente porque SSIM alto indica que a tela está visualmente correta.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O estudante interpreta SSIM como garantia de ausência de bug. A métrica mede similaridade, não impacto operacional.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descartar o teste visual porque ele detecta apenas mudanças cosméticas.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Testes visuais podem detectar regressões funcionais indiretas, como botão ausente, componente deslocado ou modal cortado.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substituir todos os testes funcionais por comparação visual.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Visual regression complementa, mas não substitui testes funcionais de contrato, regra e estado.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atualizar a baseline sempre que a diferença for menor que 5% dos pixels.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Atualização de baseline exige revisão. Threshold global não é suficiente para decidir mudança legítima.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>
        <w:t>2.4. PERGUNTA 4</w:t>
      </w:r>
    </w:p>
    <w:tbl>
      <w:tblPr>
        <w:tblStyle w:val="Table4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  <w:b/>
              </w:rPr>
              <w:t xml:space="preserve">Contextualização:</w:t>
            </w:r>
            <w:r>
              <w:rPr>
                <w:rFonts w:ascii="Arial" w:hAnsi="Arial"/>
              </w:rPr>
              <w:t xml:space="preserve"> Um time usa Visual AI para classificar diffs de interface. O modelo recebe baseline, imagem atual, diff e métricas.</w:t>
            </w:r>
          </w:p>
          <w:p/>
          <w:p>
            <w:r>
              <w:rPr>
                <w:rFonts w:ascii="Arial" w:hAnsi="Arial"/>
                <w:b/>
              </w:rPr>
              <w:t xml:space="preserve">Comando:</w:t>
            </w:r>
            <w:r>
              <w:rPr>
                <w:rFonts w:ascii="Arial" w:hAnsi="Arial"/>
              </w:rPr>
              <w:t xml:space="preserve"> Assinale a alternativa que descreve o papel mais adequado desse modelo para reduzir o risco operacional.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triagem estruturada da mudança, retornando tipo, severidade, componente afetado e recomendação para revisão ou bloqueio.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usa o VLM para interpretar evidências, mas mantém a decisão final sob política auditável.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substituir completamente os critérios de aprovação do time de QA.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O modelo pode errar interpretação. Aprovação de release deve depender de políticas, evidências e revisão proporcional ao risco.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decidir automaticamente que toda diferença visual é bug.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Essa abordagem geraria muitos falsos positivos, especialmente com conteúdo dinâmico e variações legítimas.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ignorar métricas de diff porque o modelo consegue ver a imagem.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Métricas e diff fornecem evidência objetiva. O VLM deve complementar, não substituir sinais determinísticos.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atualizar a imagem de referência sempre que classificar a mudança como baixa severidade.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Baseline é artefato de controle e deve ser alterado com revisão, não por decisão isolada do modelo.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r>
        <w:t>2.5. PERGUNTA 5</w:t>
      </w:r>
    </w:p>
    <w:tbl>
      <w:tblPr>
        <w:tblStyle w:val="Table5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  <w:b/>
              </w:rPr>
              <w:t xml:space="preserve">Contextualização:</w:t>
            </w:r>
            <w:r>
              <w:rPr>
                <w:rFonts w:ascii="Arial" w:hAnsi="Arial"/>
              </w:rPr>
              <w:t xml:space="preserve"> Uma equipe precisa testar uma tela com datas, IDs de pedido e uma lista de produtos que muda com frequência.</w:t>
            </w:r>
          </w:p>
          <w:p/>
          <w:p>
            <w:r>
              <w:rPr>
                <w:rFonts w:ascii="Arial" w:hAnsi="Arial"/>
                <w:b/>
              </w:rPr>
              <w:t xml:space="preserve">Comando:</w:t>
            </w:r>
            <w:r>
              <w:rPr>
                <w:rFonts w:ascii="Arial" w:hAnsi="Arial"/>
              </w:rPr>
              <w:t xml:space="preserve"> Assinale a alternativa que apresenta a melhor abordagem para configurar a regressão visual dessa tela.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definir políticas por região, ignorando ou tratando como dinâmicas as áreas variáveis e mantendo comparação estrita em componentes críticos.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diferencia ruído esperado de componentes críticos. Isso reduz falsos positivos sem remover proteção visual.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usar um único threshold global alto para evitar falhas frequentes.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Threshold alto pode esconder regressões pequenas e críticas. A decisão precisa considerar regiões e risco.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desativar regressão visual nessa tela, pois há dados dinâmicos.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Dados dinâmicos exigem configuração adequada, não abandono do teste visual.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comparar somente o HTML da página, pois HTML sempre reflete a aparência final.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HTML não captura renderização, fonte, layout, viewport e sobreposição visual de componentes.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pedir ao modelo para memorizar todas as variações possíveis da tela.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Memorizar variações não resolve o problema de baseline e política. O correto é segmentar regiões e definir regras de comparação.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>
        <w:t>2.6. PERGUNTA 6</w:t>
      </w:r>
    </w:p>
    <w:tbl>
      <w:tblPr>
        <w:tblStyle w:val="Table6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  <w:b/>
              </w:rPr>
              <w:t xml:space="preserve">Contextualização:</w:t>
            </w:r>
            <w:r>
              <w:rPr>
                <w:rFonts w:ascii="Arial" w:hAnsi="Arial"/>
              </w:rPr>
              <w:t xml:space="preserve"> Um alerta indica aumento de latência no checkout. Um assistente SRE recebe apenas o sintoma e pode consultar métricas, traces e logs.</w:t>
            </w:r>
          </w:p>
          <w:p/>
          <w:p>
            <w:r>
              <w:rPr>
                <w:rFonts w:ascii="Arial" w:hAnsi="Arial"/>
                <w:b/>
              </w:rPr>
              <w:t xml:space="preserve">Comando:</w:t>
            </w:r>
            <w:r>
              <w:rPr>
                <w:rFonts w:ascii="Arial" w:hAnsi="Arial"/>
              </w:rPr>
              <w:t xml:space="preserve"> Assinale a alternativa que apresenta a melhor primeira linha de investigação.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consultar métricas para dimensionar o problema e, em seguida, usar traces para identificar onde o tempo foi gasto.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métricas ajudam a localizar escopo e severidade, enquanto traces mostram o caminho da requisição e suas dependências.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pedir ao LLM que gere imediatamente a causa raiz mais provável com base no nome do serviço.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Isso favorece alucinação. Um assistente SRE deve coletar evidências antes de afirmar causa provável.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executar rollback automático antes de investigar, para reduzir tempo de resposta.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Rollback é ação sensível. Sem evidência e política de aprovação, pode ampliar o impacto.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consultar apenas logs, pois qualquer problema operacional aparece como erro textual.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Latência pode ocorrer sem exceção. Logs vazios não eliminam degradação de performance.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ignorar traces porque eles são úteis apenas para debugging local.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Traces são fundamentais em sistemas distribuídos para identificar dependências lentas e caminho da requisição.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r>
        <w:t>2.7. PERGUNTA 7</w:t>
      </w:r>
    </w:p>
    <w:tbl>
      <w:tblPr>
        <w:tblStyle w:val="Table7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  <w:b/>
              </w:rPr>
              <w:t xml:space="preserve">Contextualização:</w:t>
            </w:r>
            <w:r>
              <w:rPr>
                <w:rFonts w:ascii="Arial" w:hAnsi="Arial"/>
              </w:rPr>
              <w:t xml:space="preserve"> Durante uma investigação, métricas mostram que checkout e payment estão lentos no mesmo intervalo. Um trace de requisição lenta mostra que o span de payment consome quase todo o tempo total.</w:t>
            </w:r>
          </w:p>
          <w:p/>
          <w:p>
            <w:r>
              <w:rPr>
                <w:rFonts w:ascii="Arial" w:hAnsi="Arial"/>
                <w:b/>
              </w:rPr>
              <w:t xml:space="preserve">Comando:</w:t>
            </w:r>
            <w:r>
              <w:rPr>
                <w:rFonts w:ascii="Arial" w:hAnsi="Arial"/>
              </w:rPr>
              <w:t xml:space="preserve"> Assinale a alternativa que apresenta a conclusão mais apropriada para as evidências disponíveis.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payment é uma causa provável da latência do checkout, com evidência forte, mas ainda passível de verificação adicional.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combina correlação temporal com evidência de trace, sem exagerar para certeza absoluta.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payment é definitivamente a causa raiz, sem necessidade de confirmação.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O estudante confunde causa provável com causa verificada. Pode haver fatores adicionais como rede, saturação ou instrumentação incorreta.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checkout deve ser reiniciado automaticamente, pois é o serviço que o usuário percebe.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O sintoma aparece no checkout, mas a evidência aponta para dependência payment. A mitigação precisa ser proporcional à evidência.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não há problema se os logs não registraram erro.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Latência pode degradar sem gerar erro. Logs são uma fonte, não critério único de saúde.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investigação deve ser encerrada porque duas métricas correlacionadas bastam para RCA.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Correlação ajuda, mas RCA exige evidência mais específica, como traces, deploys, logs ou experimentos.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r>
        <w:t>2.8. PERGUNTA 8</w:t>
      </w:r>
    </w:p>
    <w:tbl>
      <w:tblPr>
        <w:tblStyle w:val="Table8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  <w:b/>
              </w:rPr>
              <w:t xml:space="preserve">Contextualização:</w:t>
            </w:r>
            <w:r>
              <w:rPr>
                <w:rFonts w:ascii="Arial" w:hAnsi="Arial"/>
              </w:rPr>
              <w:t xml:space="preserve"> Um assistente SRE propõe reiniciar um serviço de pagamento em produção após detectar alta latência.</w:t>
            </w:r>
          </w:p>
          <w:p/>
          <w:p>
            <w:r>
              <w:rPr>
                <w:rFonts w:ascii="Arial" w:hAnsi="Arial"/>
                <w:b/>
              </w:rPr>
              <w:t xml:space="preserve">Comando:</w:t>
            </w:r>
            <w:r>
              <w:rPr>
                <w:rFonts w:ascii="Arial" w:hAnsi="Arial"/>
              </w:rPr>
              <w:t xml:space="preserve"> Assinale a alternativa que apresenta a política de autonomia mais adequada para essa ação.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exigir aprovação humana, registrando evidências, hipótese, ação proposta e risco antes de qualquer execução.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restart em produção pode afetar transações. A ação deve ser governada por política e trilha de auditoria.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permitir execução automática porque o agente demonstrou confiança alta.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Confiança alta não elimina risco operacional. Ação mutável em produção exige controle proporcional.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bloquear permanentemente qualquer recomendação de mitigação gerada por IA.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O agente pode recomendar ações úteis. O problema é executar sem política, não recomendar.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executar a ação se o texto da resposta mencionar pelo menos três evidências.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Quantidade de evidências não substitui política de aprovação, identidade, permissão e avaliação de impacto.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transferir a decisão para o prompt do agente, explicando que ele deve agir com cuidado.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Prompt não é mecanismo de autorização. A aprovação deve existir no runtime ou processo operacional.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r>
        <w:t>2.9. PERGUNTA 9</w:t>
      </w:r>
    </w:p>
    <w:tbl>
      <w:tblPr>
        <w:tblStyle w:val="Table9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  <w:b/>
              </w:rPr>
              <w:t xml:space="preserve">Contextualização:</w:t>
            </w:r>
            <w:r>
              <w:rPr>
                <w:rFonts w:ascii="Arial" w:hAnsi="Arial"/>
              </w:rPr>
              <w:t xml:space="preserve"> Ao avaliar um assistente SRE, a equipe quer ir além de verificar se a resposta final parece convincente.</w:t>
            </w:r>
          </w:p>
          <w:p/>
          <w:p>
            <w:r>
              <w:rPr>
                <w:rFonts w:ascii="Arial" w:hAnsi="Arial"/>
                <w:b/>
              </w:rPr>
              <w:t xml:space="preserve">Comando:</w:t>
            </w:r>
            <w:r>
              <w:rPr>
                <w:rFonts w:ascii="Arial" w:hAnsi="Arial"/>
              </w:rPr>
              <w:t xml:space="preserve"> Assinale a alternativa que apresenta o conjunto de métricas mais adequado para essa avaliação.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acurácia da causa provável, cobertura de evidências, afirmações sem suporte, eficiência de tool calls e segurança da mitigação.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avalia trajetória, evidência e risco operacional, não apenas fluência da resposta final.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tamanho da resposta final e quantidade de termos técnicos utilizados.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Texto longo e técnico pode parecer convincente sem estar sustentado por evidências.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número de logs lidos durante a investigação, independentemente da hipótese.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Mais consultas não significam melhor investigação. O agente deve buscar evidências relevantes para reduzir incerteza.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temperatura configurada no modelo e velocidade de geração dos tokens.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Esses parâmetros ajudam operação do modelo, mas não medem qualidade de RCA ou segurança de ação.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quantidade de hipóteses geradas antes da resposta final.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Gerar muitas hipóteses sem evidência pode aumentar ruído. O importante é testar hipóteses com sinais adequados.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r>
        <w:t>2.10. PERGUNTA 10</w:t>
      </w:r>
    </w:p>
    <w:tbl>
      <w:tblPr>
        <w:tblStyle w:val="Table10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  <w:b/>
              </w:rPr>
              <w:t xml:space="preserve">Contextualização:</w:t>
            </w:r>
            <w:r>
              <w:rPr>
                <w:rFonts w:ascii="Arial" w:hAnsi="Arial"/>
              </w:rPr>
              <w:t xml:space="preserve"> Uma equipe precisa integrar evidências de QA funcional, regressão visual e investigação SRE em uma decisão de release.</w:t>
            </w:r>
          </w:p>
          <w:p/>
          <w:p>
            <w:r>
              <w:rPr>
                <w:rFonts w:ascii="Arial" w:hAnsi="Arial"/>
                <w:b/>
              </w:rPr>
              <w:t xml:space="preserve">Comando:</w:t>
            </w:r>
            <w:r>
              <w:rPr>
                <w:rFonts w:ascii="Arial" w:hAnsi="Arial"/>
              </w:rPr>
              <w:t xml:space="preserve"> Assinale a alternativa que apresenta a melhor síntese arquitetural para essa integração.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combinar sinais verificáveis de testes, diffs e telemetria, usando IA para criação e interpretação, mas mantendo políticas e aprovações explícitas.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posiciona IA como apoio à criação e análise de evidências, preservando decisão auditável e governança.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substituir todos os testes por um agente que responda se o release está pronto.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Isso remove evidências determinísticas. Release confiável exige sinais verificáveis e rastreáveis.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usar apenas low-code para evitar código de validação e reduzir manutenção.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Low-code organiza fluxos, mas validação, contratos e políticas continuam necessários.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considerar regressões visuais menos importantes que falhas de API em qualquer cenário.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Impacto depende do componente. Um CTA visualmente quebrado pode bloquear uma jornada crítica.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automatizar toda mitigação SRE sempre que testes funcionais e visuais falharem juntos.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Falhas de QA podem sinalizar risco, mas ações SRE em produção ainda exigem investigação e política de autonomia.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850.3937007874016" w:top="850.3937007874016" w:left="850.3937007874016" w:right="850.3937007874016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widowControl w:val="0"/>
      <w:spacing w:before="360" w:line="240" w:lineRule="auto"/>
      <w:ind w:right="-4.724409448817823"/>
      <w:jc w:val="right"/>
      <w:rPr>
        <w:rFonts w:ascii="Montserrat Medium" w:cs="Montserrat Medium" w:eastAsia="Montserrat Medium" w:hAnsi="Montserrat Medium"/>
      </w:rPr>
    </w:pPr>
    <w:r w:rsidDel="00000000" w:rsidR="00000000" w:rsidRPr="00000000">
      <w:rPr>
        <w:rFonts w:ascii="Montserrat SemiBold" w:cs="Montserrat SemiBold" w:eastAsia="Montserrat SemiBold" w:hAnsi="Montserrat SemiBold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A">
    <w:pPr>
      <w:jc w:val="center"/>
      <w:rPr>
        <w:rFonts w:ascii="Montserrat Medium" w:cs="Montserrat Medium" w:eastAsia="Montserrat Medium" w:hAnsi="Montserrat Medium"/>
        <w:color w:val="ffffff"/>
        <w:shd w:fill="9900ff" w:val="clear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-608099</wp:posOffset>
              </wp:positionH>
              <wp:positionV relativeFrom="paragraph">
                <wp:posOffset>400050</wp:posOffset>
              </wp:positionV>
              <wp:extent cx="7696200" cy="29078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0" y="0"/>
                        <a:ext cx="7548900" cy="2763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FF8818"/>
                          </a:gs>
                          <a:gs pos="50000">
                            <a:srgbClr val="E72F7F"/>
                          </a:gs>
                          <a:gs pos="100000">
                            <a:srgbClr val="112BDA"/>
                          </a:gs>
                        </a:gsLst>
                        <a:lin ang="2698631" scaled="0"/>
                      </a:gra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-608099</wp:posOffset>
              </wp:positionH>
              <wp:positionV relativeFrom="paragraph">
                <wp:posOffset>400050</wp:posOffset>
              </wp:positionV>
              <wp:extent cx="7696200" cy="290788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96200" cy="2907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jc w:val="left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1"/>
      <w:tblW w:w="1030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935"/>
      <w:gridCol w:w="3690"/>
      <w:gridCol w:w="4680"/>
      <w:tblGridChange w:id="0">
        <w:tblGrid>
          <w:gridCol w:w="1935"/>
          <w:gridCol w:w="3690"/>
          <w:gridCol w:w="468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A5">
          <w:pPr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023394" cy="322692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394" cy="3226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A6">
          <w:pPr>
            <w:jc w:val="left"/>
            <w:rPr/>
          </w:pPr>
          <w:r w:rsidDel="00000000" w:rsidR="00000000" w:rsidRPr="00000000">
            <w:rPr/>
            <w:drawing>
              <wp:inline distB="57150" distT="57150" distL="57150" distR="57150">
                <wp:extent cx="1336476" cy="36360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28750" l="6573" r="6816" t="250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6476" cy="363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A7">
          <w:pPr>
            <w:jc w:val="righ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Atualizado em 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24 de fev. de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8">
    <w:pPr>
      <w:jc w:val="left"/>
      <w:rPr/>
    </w:pPr>
    <w:r w:rsidDel="00000000" w:rsidR="00000000" w:rsidRPr="00000000">
      <w:rPr>
        <w:rtl w:val="0"/>
      </w:rPr>
      <w:t xml:space="preserve">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20" w:before="220" w:line="240" w:lineRule="auto"/>
      <w:jc w:val="both"/>
    </w:pPr>
    <w:rPr>
      <w:rFonts w:ascii="Montserrat" w:cs="Montserrat" w:eastAsia="Montserrat" w:hAnsi="Montserrat"/>
      <w:b w:val="1"/>
      <w:bCs w:val="1"/>
      <w:color w:val="38329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20" w:before="220" w:line="240" w:lineRule="auto"/>
      <w:jc w:val="both"/>
    </w:pPr>
    <w:rPr>
      <w:rFonts w:ascii="Montserrat" w:cs="Montserrat" w:eastAsia="Montserrat" w:hAnsi="Montserrat"/>
      <w:b w:val="1"/>
      <w:bCs w:val="1"/>
      <w:color w:val="38329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20" w:before="220" w:line="240" w:lineRule="auto"/>
      <w:jc w:val="both"/>
    </w:pPr>
    <w:rPr>
      <w:rFonts w:ascii="Montserrat" w:cs="Montserrat" w:eastAsia="Montserrat" w:hAnsi="Montserrat"/>
      <w:b w:val="1"/>
      <w:bCs w:val="1"/>
      <w:color w:val="38329a"/>
    </w:rPr>
  </w:style>
  <w:style w:type="paragraph" w:styleId="Heading4">
    <w:name w:val="heading 4"/>
    <w:basedOn w:val="Normal"/>
    <w:next w:val="Normal"/>
    <w:pPr>
      <w:keepNext w:val="1"/>
      <w:keepLines w:val="1"/>
      <w:spacing w:after="220" w:before="220" w:line="240" w:lineRule="auto"/>
      <w:jc w:val="both"/>
    </w:pPr>
    <w:rPr>
      <w:rFonts w:ascii="Montserrat" w:cs="Montserrat" w:eastAsia="Montserrat" w:hAnsi="Montserrat"/>
      <w:color w:val="38329a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40" w:lineRule="auto"/>
      <w:jc w:val="both"/>
    </w:pPr>
    <w:rPr>
      <w:rFonts w:ascii="Montserrat" w:cs="Montserrat" w:eastAsia="Montserrat" w:hAnsi="Montserrat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