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MontserratMedium-bold.ttf" ContentType="application/x-font-ttf"/>
  <Override PartName="/word/fonts/MontserratMedium-boldItalic.ttf" ContentType="application/x-font-ttf"/>
  <Override PartName="/word/fonts/MontserratMedium-italic.ttf" ContentType="application/x-font-ttf"/>
  <Override PartName="/word/fonts/MontserratMedium-regular.ttf" ContentType="application/x-font-ttf"/>
  <Override PartName="/word/fonts/MontserratSemiBold-bold.ttf" ContentType="application/x-font-ttf"/>
  <Override PartName="/word/fonts/MontserratSemiBold-boldItalic.ttf" ContentType="application/x-font-ttf"/>
  <Override PartName="/word/fonts/MontserratSemiBold-italic.ttf" ContentType="application/x-font-ttf"/>
  <Override PartName="/word/fonts/MontserratSemiBol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40" w:lineRule="auto"/>
        <w:rPr>
          <w:sz w:val="76"/>
          <w:szCs w:val="76"/>
        </w:rPr>
      </w:pPr>
      <w:r>
        <w:t>IA para DEVs [SD]</w:t>
      </w:r>
    </w:p>
    <w:p w:rsidR="00000000" w:rsidDel="00000000" w:rsidP="00000000" w:rsidRDefault="00000000" w:rsidRPr="00000000" w14:paraId="00000002">
      <w:pPr>
        <w:pStyle w:val="Subtitle"/>
        <w:spacing w:after="0" w:line="240" w:lineRule="auto"/>
        <w:rPr>
          <w:rFonts w:ascii="Montserrat" w:cs="Montserrat" w:eastAsia="Montserrat" w:hAnsi="Montserrat"/>
          <w:color w:val="434343"/>
          <w:sz w:val="36"/>
          <w:szCs w:val="36"/>
        </w:rPr>
      </w:pPr>
      <w:r/>
      <w:r>
        <w:t>Bloco 2 - Semana 03 - Low-Code para QA e SRE com IA - Lista de Exercícios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38329a"/>
          <w:sz w:val="28"/>
          <w:szCs w:val="28"/>
        </w:rPr>
      </w:pPr>
      <w:r w:rsidDel="00000000" w:rsidR="00000000" w:rsidRPr="00000000">
        <w:rPr>
          <w:b w:val="1"/>
          <w:bCs w:val="1"/>
          <w:color w:val="38329a"/>
          <w:sz w:val="28"/>
          <w:szCs w:val="28"/>
          <w:rtl w:val="0"/>
        </w:rPr>
        <w:t xml:space="preserve">SUMÁRIO</w:t>
      </w:r>
    </w:p>
    <w:sdt>
      <w:sdtPr>
        <w:id w:val="-20839852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xn941s8z6j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INFORMAÇÕES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wsulncye89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PERGUNTAS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zcr5lav3462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PERGUNTA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0g9srfbsjri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PERGUNTA 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fa37xzg1uld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PERGUNTA 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9j2z5uz67wy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PERGUNTA 4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735a42v4x3c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PERGUNTA 5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7emwy6bvelv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 PERGUNTA 6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91a0wfoolk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 PERGUNTA 7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b13lbuzgaqp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 PERGUNTA 8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09jds5y5usk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2.9. PERGUNTA 9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typkgz2rwe"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2.10. PERGUNTA 10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7xn941s8z6j" w:id="2"/>
      <w:bookmarkEnd w:id="2"/>
      <w:r w:rsidDel="00000000" w:rsidR="00000000" w:rsidRPr="00000000">
        <w:rPr>
          <w:rtl w:val="0"/>
        </w:rPr>
        <w:t xml:space="preserve">1. INFORMAÇÕES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Lista contendo de 8 a 12 exercícios de múltipla escolha com gabarito e feedback referente a semana indicada no subtítulo do documento. O responsável pela elaboração da lista é o mentor da turma, e o responsável pelo cadastro e liberação no AVA é o monitor da turma.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1wsulncye89" w:id="3"/>
      <w:bookmarkEnd w:id="3"/>
      <w:r w:rsidDel="00000000" w:rsidR="00000000" w:rsidRPr="00000000">
        <w:rPr>
          <w:rtl w:val="0"/>
        </w:rPr>
        <w:t xml:space="preserve">2. PERGUNTAS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Perguntas relacionadas aos conteúdos </w:t>
      </w:r>
      <w:r w:rsidDel="00000000" w:rsidR="00000000" w:rsidRPr="00000000">
        <w:rPr>
          <w:b w:val="1"/>
          <w:bCs w:val="1"/>
          <w:rtl w:val="0"/>
        </w:rPr>
        <w:t xml:space="preserve">da semana</w:t>
      </w:r>
      <w:r w:rsidDel="00000000" w:rsidR="00000000" w:rsidRPr="00000000">
        <w:rPr>
          <w:rtl w:val="0"/>
        </w:rPr>
        <w:t xml:space="preserve"> a serem cadastradas na plataforma </w:t>
      </w:r>
      <w:r w:rsidDel="00000000" w:rsidR="00000000" w:rsidRPr="00000000">
        <w:rPr>
          <w:b w:val="1"/>
          <w:bCs w:val="1"/>
          <w:rtl w:val="0"/>
        </w:rPr>
        <w:t xml:space="preserve">AVA</w:t>
      </w:r>
      <w:r w:rsidDel="00000000" w:rsidR="00000000" w:rsidRPr="00000000">
        <w:rPr>
          <w:rtl w:val="0"/>
        </w:rPr>
        <w:t xml:space="preserve"> (Moodle) do </w:t>
      </w:r>
      <w:r w:rsidDel="00000000" w:rsidR="00000000" w:rsidRPr="00000000">
        <w:rPr>
          <w:b w:val="1"/>
          <w:bCs w:val="1"/>
          <w:rtl w:val="0"/>
        </w:rPr>
        <w:t xml:space="preserve">SENAI/SC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b w:val="1"/>
          <w:bCs w:val="1"/>
          <w:color w:val="38329a"/>
        </w:rPr>
      </w:pPr>
      <w:r>
        <w:t>2.1. PERGUNTA 1</w:t>
      </w:r>
    </w:p>
    <w:tbl>
      <w:tblPr>
        <w:tblStyle w:val="Table1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163"/>
        <w:gridCol w:w="1527.000000000001"/>
        <w:tblGridChange w:id="0">
          <w:tblGrid>
            <w:gridCol w:w="525"/>
            <w:gridCol w:w="8163"/>
            <w:gridCol w:w="1527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8329a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Uma equipe deseja usar IA para gerar testes de API a partir de descrições em linguagem natural. O primeiro teste criado valida que um produto sem estoque não pode ser adicionado ao carrinho. O time quer evitar que o modelo invente endpoints ou resultados esperados. A melhor estratégia para implementar esse fluxo é</w:t>
            </w:r>
          </w:p>
        </w:tc>
      </w:tr>
      <w:tr>
        <w:trPr>
          <w:cantSplit w:val="0"/>
          <w:trHeight w:val="153.79999999999995" w:hRule="atLeast"/>
          <w:tblHeader w:val="0"/>
        </w:trPr>
        <w:tc>
          <w:tcPr>
            <w:gridSpan w:val="2"/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</w:t>
            </w:r>
          </w:p>
        </w:tc>
        <w:tc>
          <w:tcPr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gerar um plano de teste estruturado, validá-lo com schema, executar HTTP real e comparar o resultado com um oracle derivado da regra de negócio.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alternativa é correta porque separa geração assistida por IA de validação determinística. O modelo pode propor o plano, mas o schema, a chamada HTTP e o oracle tornam a execução auditável.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pedir ao modelo que informe se o requisito está correto e aceitar a resposta textual como resultado do teste.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O estudante confunde explicação textual com teste executável. Sem execução real e oracle verificável, não há evidência técnica suficiente.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permitir que o agente tente vários endpoints até encontrar uma resposta de sucesso.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Esse distrator ignora o risco de endpoints inventados e de efeitos colaterais. Testes de API devem operar dentro de allowlists e contratos explícitos.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usar apenas screenshots da aplicação para validar a regra de estoque.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regra de estoque é melhor validada no contrato de API. Screenshots podem complementar, mas não substituem a verificação funcional.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remover validações de schema para que o low-code consiga adaptar o teste automaticamente.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Flexibilidade sem schema aumenta chamadas malformadas e comportamento não auditável. Low-code não elimina a necessidade de contratos.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yjivby4q3jc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>
        <w:t>2.2. PERGUNTA 2</w:t>
      </w:r>
    </w:p>
    <w:tbl>
      <w:tblPr>
        <w:tblStyle w:val="Table2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163"/>
        <w:gridCol w:w="1527.000000000001"/>
        <w:tblGridChange w:id="0">
          <w:tblGrid>
            <w:gridCol w:w="525"/>
            <w:gridCol w:w="8163"/>
            <w:gridCol w:w="1527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8329a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Durante a construção de um workflow low-code para QA, um agente gera steps HTTP em JSON. A equipe percebe que o modelo às vezes sugere caminhos administrativos que não fazem parte do escopo do teste. A ação mais adequada é</w:t>
            </w:r>
          </w:p>
        </w:tc>
      </w:tr>
      <w:tr>
        <w:trPr>
          <w:cantSplit w:val="0"/>
          <w:trHeight w:val="153.79999999999995" w:hRule="atLeast"/>
          <w:tblHeader w:val="0"/>
        </w:trPr>
        <w:tc>
          <w:tcPr>
            <w:gridSpan w:val="2"/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</w:t>
            </w:r>
          </w:p>
        </w:tc>
        <w:tc>
          <w:tcPr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implementar uma allowlist de métodos e paths antes da execução de qualquer tool HTTP.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alternativa é correta porque controles de ação devem ser determinísticos. A allowlist impede que o modelo execute caminhos fora do escopo mesmo que o prompt falhe.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adicionar ao prompt a instrução para que o modelo nunca use endpoints perigosos.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instrução ajuda, mas não impõe segurança. Prompt não deve ser tratado como firewall para execução de tools.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ocultar a lista de endpoints do modelo para que ele não tente usar rotas administrativas.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Sem contrato, o modelo tende a alucinar mais. A solução correta é expor o escopo autorizado e bloquear execução fora dele.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executar todas as chamadas em produção e reverter se algo der errado.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Essa opção aceita efeitos colaterais perigosos. Testes devem ser controlados, reproduzíveis e preferencialmente isolados.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permitir somente requisições GET, mesmo quando o teste exige criar carrinho ou checkout.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Reduzir tudo a GET pode impedir testes necessários. O correto é permitir mutações específicas e seguras, não eliminar a capacidade de teste.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>
        <w:t>2.3. PERGUNTA 3</w:t>
      </w:r>
    </w:p>
    <w:tbl>
      <w:tblPr>
        <w:tblStyle w:val="Table3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163"/>
        <w:gridCol w:w="1527.000000000001"/>
        <w:tblGridChange w:id="0">
          <w:tblGrid>
            <w:gridCol w:w="525"/>
            <w:gridCol w:w="8163"/>
            <w:gridCol w:w="1527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8329a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Uma regressão visual apresenta SSIM alto e baixa porcentagem de pixels alterados, mas a região alterada contém o botão principal de finalizar compra. A decisão tecnicamente mais adequada é</w:t>
            </w:r>
          </w:p>
        </w:tc>
      </w:tr>
      <w:tr>
        <w:trPr>
          <w:cantSplit w:val="0"/>
          <w:trHeight w:val="153.79999999999995" w:hRule="atLeast"/>
          <w:tblHeader w:val="0"/>
        </w:trPr>
        <w:tc>
          <w:tcPr>
            <w:gridSpan w:val="2"/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</w:t>
            </w:r>
          </w:p>
        </w:tc>
        <w:tc>
          <w:tcPr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tratar a mudança como potencialmente crítica, pois métricas globais podem esconder impacto localizado em componente de alto risco.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alternativa é correta porque SSIM e pixel ratio não representam severidade de negócio. Um pequeno diff em CTA pode bloquear um fluxo essencial.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aprovar automaticamente porque SSIM alto indica que a tela está visualmente correta.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O estudante interpreta SSIM como garantia de ausência de bug. A métrica mede similaridade, não impacto operacional.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descartar o teste visual porque ele detecta apenas mudanças cosméticas.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Testes visuais podem detectar regressões funcionais indiretas, como botão ausente, componente deslocado ou modal cortado.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substituir todos os testes funcionais por comparação visual.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Visual regression complementa, mas não substitui testes funcionais de contrato, regra e estado.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atualizar a baseline sempre que a diferença for menor que 5% dos pixels.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Atualização de baseline exige revisão. Threshold global não é suficiente para decidir mudança legítima.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r>
        <w:t>2.4. PERGUNTA 4</w:t>
      </w:r>
    </w:p>
    <w:tbl>
      <w:tblPr>
        <w:tblStyle w:val="Table4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163"/>
        <w:gridCol w:w="1527.000000000001"/>
        <w:tblGridChange w:id="0">
          <w:tblGrid>
            <w:gridCol w:w="525"/>
            <w:gridCol w:w="8163"/>
            <w:gridCol w:w="1527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8329a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Um time usa Visual AI para classificar diffs de interface. O modelo recebe baseline, imagem atual, diff e métricas. Para reduzir risco operacional, o papel mais adequado desse modelo é</w:t>
            </w:r>
          </w:p>
        </w:tc>
      </w:tr>
      <w:tr>
        <w:trPr>
          <w:cantSplit w:val="0"/>
          <w:trHeight w:val="153.79999999999995" w:hRule="atLeast"/>
          <w:tblHeader w:val="0"/>
        </w:trPr>
        <w:tc>
          <w:tcPr>
            <w:gridSpan w:val="2"/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</w:t>
            </w:r>
          </w:p>
        </w:tc>
        <w:tc>
          <w:tcPr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triagem estruturada da mudança, retornando tipo, severidade, componente afetado e recomendação para revisão ou bloqueio.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alternativa é correta porque usa o VLM para interpretar evidências, mas mantém a decisão final sob política auditável.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substituir completamente os critérios de aprovação do time de QA.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O modelo pode errar interpretação. Aprovação de release deve depender de políticas, evidências e revisão proporcional ao risco.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decidir automaticamente que toda diferença visual é bug.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Essa abordagem geraria muitos falsos positivos, especialmente com conteúdo dinâmico e variações legítimas.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ignorar métricas de diff porque o modelo consegue ver a imagem.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Métricas e diff fornecem evidência objetiva. O VLM deve complementar, não substituir sinais determinísticos.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atualizar a imagem de referência sempre que classificar a mudança como baixa severidade.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Baseline é artefato de controle e deve ser alterado com revisão, não por decisão isolada do modelo.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r>
        <w:t>2.5. PERGUNTA 5</w:t>
      </w:r>
    </w:p>
    <w:tbl>
      <w:tblPr>
        <w:tblStyle w:val="Table5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163"/>
        <w:gridCol w:w="1527.000000000001"/>
        <w:tblGridChange w:id="0">
          <w:tblGrid>
            <w:gridCol w:w="525"/>
            <w:gridCol w:w="8163"/>
            <w:gridCol w:w="1527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8329a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Uma equipe precisa testar uma tela com datas, IDs de pedido e uma lista de produtos que muda com frequência. Ao configurar regressão visual, a melhor abordagem é</w:t>
            </w:r>
          </w:p>
        </w:tc>
      </w:tr>
      <w:tr>
        <w:trPr>
          <w:cantSplit w:val="0"/>
          <w:trHeight w:val="153.79999999999995" w:hRule="atLeast"/>
          <w:tblHeader w:val="0"/>
        </w:trPr>
        <w:tc>
          <w:tcPr>
            <w:gridSpan w:val="2"/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</w:t>
            </w:r>
          </w:p>
        </w:tc>
        <w:tc>
          <w:tcPr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definir políticas por região, ignorando ou tratando como dinâmicas as áreas variáveis e mantendo comparação estrita em componentes críticos.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alternativa é correta porque diferencia ruído esperado de componentes críticos. Isso reduz falsos positivos sem remover proteção visual.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usar um único threshold global alto para evitar falhas frequentes.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Threshold alto pode esconder regressões pequenas e críticas. A decisão precisa considerar regiões e risco.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desativar regressão visual nessa tela, pois há dados dinâmicos.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Dados dinâmicos exigem configuração adequada, não abandono do teste visual.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comparar somente o HTML da página, pois HTML sempre reflete a aparência final.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HTML não captura renderização, fonte, layout, viewport e sobreposição visual de componentes.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pedir ao modelo para memorizar todas as variações possíveis da tela.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Memorizar variações não resolve o problema de baseline e política. O correto é segmentar regiões e definir regras de comparação.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r>
        <w:t>2.6. PERGUNTA 6</w:t>
      </w:r>
    </w:p>
    <w:tbl>
      <w:tblPr>
        <w:tblStyle w:val="Table6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163"/>
        <w:gridCol w:w="1527.000000000001"/>
        <w:tblGridChange w:id="0">
          <w:tblGrid>
            <w:gridCol w:w="525"/>
            <w:gridCol w:w="8163"/>
            <w:gridCol w:w="1527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8329a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Um alerta indica aumento de latência no checkout. Um assistente SRE recebe apenas o sintoma e pode consultar métricas, traces e logs. A melhor primeira linha de investigação é</w:t>
            </w:r>
          </w:p>
        </w:tc>
      </w:tr>
      <w:tr>
        <w:trPr>
          <w:cantSplit w:val="0"/>
          <w:trHeight w:val="153.79999999999995" w:hRule="atLeast"/>
          <w:tblHeader w:val="0"/>
        </w:trPr>
        <w:tc>
          <w:tcPr>
            <w:gridSpan w:val="2"/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</w:t>
            </w:r>
          </w:p>
        </w:tc>
        <w:tc>
          <w:tcPr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consultar métricas para dimensionar o problema e, em seguida, usar traces para identificar onde o tempo foi gasto.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alternativa é correta porque métricas ajudam a localizar escopo e severidade, enquanto traces mostram o caminho da requisição e suas dependências.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pedir ao LLM que gere imediatamente a causa raiz mais provável com base no nome do serviço.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Isso favorece alucinação. Um assistente SRE deve coletar evidências antes de afirmar causa provável.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executar rollback automático antes de investigar, para reduzir tempo de resposta.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Rollback é ação sensível. Sem evidência e política de aprovação, pode ampliar o impacto.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consultar apenas logs, pois qualquer problema operacional aparece como erro textual.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Latência pode ocorrer sem exceção. Logs vazios não eliminam degradação de performance.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ignorar traces porque eles são úteis apenas para debugging local.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Traces são fundamentais em sistemas distribuídos para identificar dependências lentas e caminho da requisição.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r>
        <w:t>2.7. PERGUNTA 7</w:t>
      </w:r>
    </w:p>
    <w:tbl>
      <w:tblPr>
        <w:tblStyle w:val="Table7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163"/>
        <w:gridCol w:w="1527.000000000001"/>
        <w:tblGridChange w:id="0">
          <w:tblGrid>
            <w:gridCol w:w="525"/>
            <w:gridCol w:w="8163"/>
            <w:gridCol w:w="1527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8329a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Durante uma investigação, métricas mostram que checkout e payment estão lentos no mesmo intervalo. Um trace de requisição lenta mostra que o span de payment consome quase todo o tempo total. A conclusão mais apropriada é</w:t>
            </w:r>
          </w:p>
        </w:tc>
      </w:tr>
      <w:tr>
        <w:trPr>
          <w:cantSplit w:val="0"/>
          <w:trHeight w:val="153.79999999999995" w:hRule="atLeast"/>
          <w:tblHeader w:val="0"/>
        </w:trPr>
        <w:tc>
          <w:tcPr>
            <w:gridSpan w:val="2"/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</w:t>
            </w:r>
          </w:p>
        </w:tc>
        <w:tc>
          <w:tcPr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payment é uma causa provável da latência do checkout, com evidência forte, mas ainda passível de verificação adicional.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alternativa é correta porque combina correlação temporal com evidência de trace, sem exagerar para certeza absoluta.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payment é definitivamente a causa raiz, sem necessidade de confirmação.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O estudante confunde causa provável com causa verificada. Pode haver fatores adicionais como rede, saturação ou instrumentação incorreta.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checkout deve ser reiniciado automaticamente, pois é o serviço que o usuário percebe.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O sintoma aparece no checkout, mas a evidência aponta para dependência payment. A mitigação precisa ser proporcional à evidência.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não há problema se os logs não registraram erro.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Latência pode degradar sem gerar erro. Logs são uma fonte, não critério único de saúde.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investigação deve ser encerrada porque duas métricas correlacionadas bastam para RCA.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Correlação ajuda, mas RCA exige evidência mais específica, como traces, deploys, logs ou experimentos.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r>
        <w:t>2.8. PERGUNTA 8</w:t>
      </w:r>
    </w:p>
    <w:tbl>
      <w:tblPr>
        <w:tblStyle w:val="Table8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163"/>
        <w:gridCol w:w="1527.000000000001"/>
        <w:tblGridChange w:id="0">
          <w:tblGrid>
            <w:gridCol w:w="525"/>
            <w:gridCol w:w="8163"/>
            <w:gridCol w:w="1527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8329a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Um assistente SRE propõe reiniciar um serviço de pagamento em produção após detectar alta latência. A política de autonomia mais adequada é</w:t>
            </w:r>
          </w:p>
        </w:tc>
      </w:tr>
      <w:tr>
        <w:trPr>
          <w:cantSplit w:val="0"/>
          <w:trHeight w:val="153.79999999999995" w:hRule="atLeast"/>
          <w:tblHeader w:val="0"/>
        </w:trPr>
        <w:tc>
          <w:tcPr>
            <w:gridSpan w:val="2"/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</w:t>
            </w:r>
          </w:p>
        </w:tc>
        <w:tc>
          <w:tcPr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exigir aprovação humana, registrando evidências, hipótese, ação proposta e risco antes de qualquer execução.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alternativa é correta porque restart em produção pode afetar transações. A ação deve ser governada por política e trilha de auditoria.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permitir execução automática porque o agente demonstrou confiança alta.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Confiança alta não elimina risco operacional. Ação mutável em produção exige controle proporcional.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bloquear permanentemente qualquer recomendação de mitigação gerada por IA.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O agente pode recomendar ações úteis. O problema é executar sem política, não recomendar.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executar a ação se o texto da resposta mencionar pelo menos três evidências.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Quantidade de evidências não substitui política de aprovação, identidade, permissão e avaliação de impacto.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transferir a decisão para o prompt do agente, explicando que ele deve agir com cuidado.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Prompt não é mecanismo de autorização. A aprovação deve existir no runtime ou processo operacional.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r>
        <w:t>2.9. PERGUNTA 9</w:t>
      </w:r>
    </w:p>
    <w:tbl>
      <w:tblPr>
        <w:tblStyle w:val="Table9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163"/>
        <w:gridCol w:w="1527.000000000001"/>
        <w:tblGridChange w:id="0">
          <w:tblGrid>
            <w:gridCol w:w="525"/>
            <w:gridCol w:w="8163"/>
            <w:gridCol w:w="1527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8329a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Ao avaliar um assistente SRE, a equipe quer ir além de verificar se a resposta final parece convincente. O conjunto de métricas mais adequado é</w:t>
            </w:r>
          </w:p>
        </w:tc>
      </w:tr>
      <w:tr>
        <w:trPr>
          <w:cantSplit w:val="0"/>
          <w:trHeight w:val="153.79999999999995" w:hRule="atLeast"/>
          <w:tblHeader w:val="0"/>
        </w:trPr>
        <w:tc>
          <w:tcPr>
            <w:gridSpan w:val="2"/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</w:t>
            </w:r>
          </w:p>
        </w:tc>
        <w:tc>
          <w:tcPr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acurácia da causa provável, cobertura de evidências, afirmações sem suporte, eficiência de tool calls e segurança da mitigação.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alternativa é correta porque avalia trajetória, evidência e risco operacional, não apenas fluência da resposta final.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tamanho da resposta final e quantidade de termos técnicos utilizados.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Texto longo e técnico pode parecer convincente sem estar sustentado por evidências.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número de logs lidos durante a investigação, independentemente da hipótese.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Mais consultas não significam melhor investigação. O agente deve buscar evidências relevantes para reduzir incerteza.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temperatura configurada no modelo e velocidade de geração dos tokens.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Esses parâmetros ajudam operação do modelo, mas não medem qualidade de RCA ou segurança de ação.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quantidade de hipóteses geradas antes da resposta final.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Gerar muitas hipóteses sem evidência pode aumentar ruído. O importante é testar hipóteses com sinais adequados.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r>
        <w:t>2.10. PERGUNTA 10</w:t>
      </w:r>
    </w:p>
    <w:tbl>
      <w:tblPr>
        <w:tblStyle w:val="Table10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163"/>
        <w:gridCol w:w="1527.000000000001"/>
        <w:tblGridChange w:id="0">
          <w:tblGrid>
            <w:gridCol w:w="525"/>
            <w:gridCol w:w="8163"/>
            <w:gridCol w:w="1527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38329a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Ao integrar QA funcional, regressão visual e investigação SRE em uma decisão de release, a melhor síntese arquitetural é</w:t>
            </w:r>
          </w:p>
        </w:tc>
      </w:tr>
      <w:tr>
        <w:trPr>
          <w:cantSplit w:val="0"/>
          <w:trHeight w:val="153.79999999999995" w:hRule="atLeast"/>
          <w:tblHeader w:val="0"/>
        </w:trPr>
        <w:tc>
          <w:tcPr>
            <w:gridSpan w:val="2"/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</w:t>
            </w:r>
          </w:p>
        </w:tc>
        <w:tc>
          <w:tcPr>
            <w:shd w:fill="a4c2f4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combinar sinais verificáveis de testes, diffs e telemetria, usando IA para criação e interpretação, mas mantendo políticas e aprovações explícitas.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 alternativa é correta porque posiciona IA como apoio à criação e análise de evidências, preservando decisão auditável e governança.</w:t>
            </w:r>
          </w:p>
        </w:tc>
        <w:tc>
          <w:tcPr>
            <w:shd w:fill="d9ead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B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substituir todos os testes por um agente que responda se o release está pronto.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Isso remove evidências determinísticas. Release confiável exige sinais verificáveis e rastreáveis.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usar apenas low-code para evitar código de validação e reduzir manutenção.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Low-code organiza fluxos, mas validação, contratos e políticas continuam necessários.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D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considerar regressões visuais menos importantes que falhas de API em qualquer cenário.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Impacto depende do componente. Um CTA visualmente quebrado pode bloquear uma jornada crítica.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restart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E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automatizar toda mitigação SRE sempre que testes funcionais e visuais falharem juntos.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INCORRETA</w:t>
            </w:r>
          </w:p>
        </w:tc>
      </w:tr>
      <w:tr>
        <w:trPr>
          <w:cantSplit w:val="0"/>
          <w:trHeight w:val="333.38582677165357" w:hRule="atLeast"/>
          <w:tblHeader w:val="0"/>
        </w:trPr>
        <w:tc>
          <w:tcPr>
            <w:vMerge w:val="continue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Falhas de QA podem sinalizar risco, mas ações SRE em produção ainda exigem investigação e política de autonomia.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>
            <w:r>
              <w:rPr>
                <w:rFonts w:ascii="Arial" w:hAnsi="Arial"/>
              </w:rPr>
              <w:t>FEEDBACK</w:t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850.3937007874016" w:top="850.3937007874016" w:left="850.3937007874016" w:right="850.3937007874016" w:header="566.929133858267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widowControl w:val="0"/>
      <w:spacing w:before="360" w:line="240" w:lineRule="auto"/>
      <w:ind w:right="-4.724409448817823"/>
      <w:jc w:val="right"/>
      <w:rPr>
        <w:rFonts w:ascii="Montserrat Medium" w:cs="Montserrat Medium" w:eastAsia="Montserrat Medium" w:hAnsi="Montserrat Medium"/>
      </w:rPr>
    </w:pPr>
    <w:r w:rsidDel="00000000" w:rsidR="00000000" w:rsidRPr="00000000">
      <w:rPr>
        <w:rFonts w:ascii="Montserrat SemiBold" w:cs="Montserrat SemiBold" w:eastAsia="Montserrat SemiBold" w:hAnsi="Montserrat SemiBold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A">
    <w:pPr>
      <w:jc w:val="center"/>
      <w:rPr>
        <w:rFonts w:ascii="Montserrat Medium" w:cs="Montserrat Medium" w:eastAsia="Montserrat Medium" w:hAnsi="Montserrat Medium"/>
        <w:color w:val="ffffff"/>
        <w:shd w:fill="9900ff" w:val="clear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-608099</wp:posOffset>
              </wp:positionH>
              <wp:positionV relativeFrom="paragraph">
                <wp:posOffset>400050</wp:posOffset>
              </wp:positionV>
              <wp:extent cx="7696200" cy="29078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0" y="0"/>
                        <a:ext cx="7548900" cy="27630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FF8818"/>
                          </a:gs>
                          <a:gs pos="50000">
                            <a:srgbClr val="E72F7F"/>
                          </a:gs>
                          <a:gs pos="100000">
                            <a:srgbClr val="112BDA"/>
                          </a:gs>
                        </a:gsLst>
                        <a:lin ang="2698631" scaled="0"/>
                      </a:gra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-608099</wp:posOffset>
              </wp:positionH>
              <wp:positionV relativeFrom="paragraph">
                <wp:posOffset>400050</wp:posOffset>
              </wp:positionV>
              <wp:extent cx="7696200" cy="290788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96200" cy="2907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jc w:val="left"/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1"/>
      <w:tblW w:w="1030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935"/>
      <w:gridCol w:w="3690"/>
      <w:gridCol w:w="4680"/>
      <w:tblGridChange w:id="0">
        <w:tblGrid>
          <w:gridCol w:w="1935"/>
          <w:gridCol w:w="3690"/>
          <w:gridCol w:w="468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A5">
          <w:pPr>
            <w:jc w:val="lef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023394" cy="322692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394" cy="3226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A6">
          <w:pPr>
            <w:jc w:val="left"/>
            <w:rPr/>
          </w:pPr>
          <w:r w:rsidDel="00000000" w:rsidR="00000000" w:rsidRPr="00000000">
            <w:rPr/>
            <w:drawing>
              <wp:inline distB="57150" distT="57150" distL="57150" distR="57150">
                <wp:extent cx="1336476" cy="363600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28750" l="6573" r="6816" t="250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6476" cy="363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A7">
          <w:pPr>
            <w:jc w:val="righ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Atualizado em 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24 de fev. de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8">
    <w:pPr>
      <w:jc w:val="left"/>
      <w:rPr/>
    </w:pPr>
    <w:r w:rsidDel="00000000" w:rsidR="00000000" w:rsidRPr="00000000">
      <w:rPr>
        <w:rtl w:val="0"/>
      </w:rPr>
      <w:t xml:space="preserve">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20" w:before="220" w:line="240" w:lineRule="auto"/>
      <w:jc w:val="both"/>
    </w:pPr>
    <w:rPr>
      <w:rFonts w:ascii="Montserrat" w:cs="Montserrat" w:eastAsia="Montserrat" w:hAnsi="Montserrat"/>
      <w:b w:val="1"/>
      <w:bCs w:val="1"/>
      <w:color w:val="38329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20" w:before="220" w:line="240" w:lineRule="auto"/>
      <w:jc w:val="both"/>
    </w:pPr>
    <w:rPr>
      <w:rFonts w:ascii="Montserrat" w:cs="Montserrat" w:eastAsia="Montserrat" w:hAnsi="Montserrat"/>
      <w:b w:val="1"/>
      <w:bCs w:val="1"/>
      <w:color w:val="38329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20" w:before="220" w:line="240" w:lineRule="auto"/>
      <w:jc w:val="both"/>
    </w:pPr>
    <w:rPr>
      <w:rFonts w:ascii="Montserrat" w:cs="Montserrat" w:eastAsia="Montserrat" w:hAnsi="Montserrat"/>
      <w:b w:val="1"/>
      <w:bCs w:val="1"/>
      <w:color w:val="38329a"/>
    </w:rPr>
  </w:style>
  <w:style w:type="paragraph" w:styleId="Heading4">
    <w:name w:val="heading 4"/>
    <w:basedOn w:val="Normal"/>
    <w:next w:val="Normal"/>
    <w:pPr>
      <w:keepNext w:val="1"/>
      <w:keepLines w:val="1"/>
      <w:spacing w:after="220" w:before="220" w:line="240" w:lineRule="auto"/>
      <w:jc w:val="both"/>
    </w:pPr>
    <w:rPr>
      <w:rFonts w:ascii="Montserrat" w:cs="Montserrat" w:eastAsia="Montserrat" w:hAnsi="Montserrat"/>
      <w:color w:val="38329a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40" w:lineRule="auto"/>
      <w:jc w:val="both"/>
    </w:pPr>
    <w:rPr>
      <w:rFonts w:ascii="Montserrat" w:cs="Montserrat" w:eastAsia="Montserrat" w:hAnsi="Montserrat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