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both"/>
        <w:spacing w:after="0"/>
        <w:spacing w:line="240" w:lineRule="auto"/>
      </w:pPr>
      <w:r>
        <w:rPr>
          <w:lang w:val="pt-BR"/>
          <w:rFonts w:ascii="Arial" w:cs="Arial" w:hAnsi="Arial"/>
          <w:b/>
          <w:color w:val="000000"/>
        </w:rPr>
        <w:t xml:space="preserve">PEM5112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pt-BR"/>
          <w:rFonts w:ascii="Arial" w:cs="Arial" w:hAnsi="Arial"/>
          <w:color w:val="000000"/>
        </w:rPr>
        <w:t xml:space="preserve">Tipo:POS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pt-BR"/>
          <w:rFonts w:ascii="Arial" w:cs="Arial" w:hAnsi="Arial"/>
          <w:color w:val="000000"/>
        </w:rPr>
        <w:t xml:space="preserve">Name: Ceramics Processing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Mother Area: Metallic Materials, Ceramic and Polymer (97134)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b/>
          <w:color w:val="000000"/>
        </w:rPr>
        <w:t xml:space="preserve">Objectives: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1. To enable students to relate the raw materials, characterization, forming and sintering with the properties of ceramics;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2. Know the methods of forming and sintering of traditional and advanced ceramics;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3. Know and operate equipment involved in processing of ceramics.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b/>
          <w:color w:val="000000"/>
        </w:rPr>
        <w:t xml:space="preserve">Justification: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The </w:t>
      </w:r>
      <w:bookmarkStart w:id="37" w:name="_GoBack"/>
      <w:bookmarkEnd w:id="37"/>
      <w:r>
        <w:rPr>
          <w:lang w:val="en"/>
          <w:rFonts w:ascii="Arial" w:cs="Arial" w:hAnsi="Arial"/>
          <w:color w:val="000000"/>
        </w:rPr>
        <w:t xml:space="preserve">graduate programs receive students from various fields of knowledge whose formations are not dealt with the processing area and characterization of ceramics. This course provides students of all backgrounds a broad view of ceramics, with emphasis on raw materials, processing and characterization.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b/>
          <w:color w:val="000000"/>
        </w:rPr>
        <w:t xml:space="preserve">Contents: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1. Natural and synthetic raw materials.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2. Ceramic powders preparation (crushing and synthesis).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3.Characterization of ceramic powders.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4. Pressing;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5. Slips casting;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6.Extrusion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7. Injection;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8. Drying;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9. Firing (pre-sintering events - sintering and cooling)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10. Surface treatments;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11. Finishing;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12. Mechanical behavior.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b/>
          <w:color w:val="000000"/>
        </w:rPr>
        <w:t xml:space="preserve">References:</w:t>
      </w:r>
    </w:p>
    <w:p>
      <w:pPr>
        <w:jc w:val="both"/>
        <w:spacing w:after="0"/>
        <w:spacing w:line="240" w:lineRule="auto"/>
      </w:pPr>
      <w:r>
        <w:rPr>
          <w:lang w:val="pt-BR"/>
          <w:rFonts w:ascii="Arial" w:cs="Arial" w:hAnsi="Arial"/>
          <w:color w:val="000000"/>
        </w:rPr>
        <w:t xml:space="preserve">1. Kingery, W.D. Ceramic Fabrication Processes. The M.I.T. Press, Cambridge, 1957.</w:t>
      </w:r>
    </w:p>
    <w:p>
      <w:pPr>
        <w:jc w:val="both"/>
        <w:spacing w:after="0"/>
        <w:spacing w:line="240" w:lineRule="auto"/>
      </w:pPr>
      <w:r>
        <w:rPr>
          <w:lang w:val="pt-BR"/>
          <w:rFonts w:ascii="Arial" w:cs="Arial" w:hAnsi="Arial"/>
          <w:color w:val="000000"/>
        </w:rPr>
        <w:t xml:space="preserve">2. Barsoum, M. W. Fundamentals of Ceramics. Taylor &amp; Francis, New York, 2003.</w:t>
      </w:r>
    </w:p>
    <w:p>
      <w:pPr>
        <w:jc w:val="both"/>
        <w:spacing w:after="0"/>
        <w:spacing w:line="240" w:lineRule="auto"/>
      </w:pPr>
      <w:r>
        <w:rPr>
          <w:lang w:val="pt-BR"/>
          <w:rFonts w:ascii="Arial" w:cs="Arial" w:hAnsi="Arial"/>
          <w:color w:val="000000"/>
        </w:rPr>
        <w:t xml:space="preserve">3. Carter, C. B.; Norton, M. G. Ceramic Materials – Science and Materials. Springer Science + Business Media, New York 2007.</w:t>
      </w:r>
    </w:p>
    <w:p>
      <w:pPr>
        <w:jc w:val="both"/>
        <w:spacing w:after="0"/>
        <w:spacing w:line="240" w:lineRule="auto"/>
      </w:pPr>
      <w:r>
        <w:rPr>
          <w:lang w:val="pt-BR"/>
          <w:rFonts w:ascii="Arial" w:cs="Arial" w:hAnsi="Arial"/>
          <w:color w:val="000000"/>
        </w:rPr>
        <w:t xml:space="preserve">4. Wang, F. Treatise on Materials Science and Technology. v. 9, Ceramic Fabrication Process. Academic Press, New York, 1976.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5. Fonseca, A.T. Technology Ceramic Processing. Open University. Lisbon, 2000.</w:t>
      </w:r>
    </w:p>
    <w:p>
      <w:pPr>
        <w:jc w:val="both"/>
        <w:spacing w:after="0"/>
        <w:spacing w:line="240" w:lineRule="auto"/>
      </w:pPr>
      <w:r>
        <w:rPr>
          <w:lang w:val="pt-BR"/>
          <w:rFonts w:ascii="Arial" w:cs="Arial" w:hAnsi="Arial"/>
          <w:color w:val="000000"/>
        </w:rPr>
        <w:t xml:space="preserve">7. Reed, J.S. Principles of Ceramics Processing, John Wiley, 1988.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8. Specialized articles of the current literature.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b/>
          <w:color w:val="000000"/>
        </w:rPr>
        <w:t xml:space="preserve">Evaluation method: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Two written tests (P1 and P2), 1 Seminar (SEM) and 1 Technical Report (REL), all with scores from 0 to 10 points.</w:t>
      </w:r>
    </w:p>
    <w:p>
      <w:pPr>
        <w:jc w:val="both"/>
        <w:spacing w:after="0"/>
        <w:spacing w:line="240" w:lineRule="auto"/>
      </w:pP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b/>
          <w:color w:val="000000"/>
        </w:rPr>
        <w:t xml:space="preserve">Observation</w:t>
      </w:r>
    </w:p>
    <w:p>
      <w:pPr>
        <w:jc w:val="both"/>
        <w:spacing w:after="0"/>
        <w:spacing w:line="240" w:lineRule="auto"/>
      </w:pPr>
      <w:r>
        <w:rPr>
          <w:lang w:val="en"/>
          <w:rFonts w:ascii="Arial" w:cs="Arial" w:hAnsi="Arial"/>
          <w:color w:val="000000"/>
        </w:rPr>
        <w:t xml:space="preserve">Assessment criteria: Final Average (MF) is calculated taking into account the weights: MF=(2P1+2P2+SEM+REL)/6.</w:t>
      </w:r>
    </w:p>
    <w:p>
      <w:pPr>
        <w:jc w:val="both"/>
        <w:spacing w:after="0"/>
        <w:spacing w:line="240" w:lineRule="auto"/>
      </w:pPr>
    </w:p>
    <w:sectPr>
      <w:type w:val="continuous"/>
      <w:pgSz w:w="11906" w:h="16838" w:orient="portrait"/>
      <w:pgMar w:top="1418" w:left="1418" w:right="1134" w:bottom="1191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mo" w:cs="Arimo" w:hAnsi="Arimo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mo" w:cs="Arimo" w:hAnsi="Arimo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mo" w:cs="Arimo" w:hAnsi="Arimo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character" w:styleId="hps">
    <w:name w:val="hps"/>
    <w:basedOn w:val="Default Paragraph Font"/>
    <w:pPr/>
    <w:rPr/>
  </w:style>
  <w:style w:type="character" w:styleId="short_text">
    <w:name w:val="short_text"/>
    <w:basedOn w:val="Default Paragraph Font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