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LOQ4052</w:t>
      </w:r>
    </w:p>
    <w:p>
      <w:pPr>
        <w:pStyle w:val="Normal"/>
        <w:jc w:val="left"/>
      </w:pPr>
      <w:r>
        <w:rPr/>
        <w:t xml:space="preserve">LOQ4052 - Tópicos Especiais de Gestão e Produção</w:t>
      </w:r>
    </w:p>
    <w:p>
      <w:pPr>
        <w:pStyle w:val="Normal"/>
        <w:jc w:val="left"/>
      </w:pPr>
      <w:r>
        <w:rPr/>
        <w:t xml:space="preserve">Special Topics of Management and Production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e</w:t>
      </w:r>
    </w:p>
    <w:p>
      <w:pPr>
        <w:pStyle w:val="Normal"/>
        <w:jc w:val="left"/>
      </w:pPr>
      <w:r>
        <w:rPr/>
        <w:t xml:space="preserve">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LOQ4046: Gestão da Produção e Logística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