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(3), EM (2), EA (8), EB (8), EP (10), EQD (2), EQN (5)</w:t>
      </w:r>
    </w:p>
    <w:p>
      <w:pPr>
        <w:pStyle w:val="Heading2"/>
      </w:pPr>
      <w:r>
        <w:t>Objetivos</w:t>
      </w:r>
    </w:p>
    <w:p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948230 - Francisco Sodero Toledo</w:t>
      </w:r>
    </w:p>
    <w:p>
      <w:pPr>
        <w:pStyle w:val="Heading2"/>
      </w:pPr>
      <w:r>
        <w:t>Programa resumido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>Programa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-  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